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E033B"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F522A8">
        <w:rPr>
          <w:rFonts w:ascii="Arial" w:hAnsi="Arial" w:cs="Arial"/>
          <w:b/>
          <w:sz w:val="48"/>
          <w:szCs w:val="48"/>
        </w:rPr>
        <w:t>178</w:t>
      </w:r>
    </w:p>
    <w:p w14:paraId="59AEC38D"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6953C6">
        <w:rPr>
          <w:rFonts w:ascii="Arial" w:hAnsi="Arial" w:cs="Arial"/>
          <w:b/>
          <w:sz w:val="48"/>
          <w:szCs w:val="48"/>
        </w:rPr>
        <w:t>High-Bay and Low-Bay Fixtures</w:t>
      </w:r>
    </w:p>
    <w:p w14:paraId="2090DF40" w14:textId="6648D449"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B56D9D">
        <w:rPr>
          <w:rFonts w:ascii="Arial" w:hAnsi="Arial" w:cs="Arial"/>
          <w:b/>
          <w:sz w:val="48"/>
          <w:szCs w:val="48"/>
        </w:rPr>
        <w:t>3</w:t>
      </w:r>
    </w:p>
    <w:p w14:paraId="70D16AB8" w14:textId="77777777" w:rsidR="003129E8" w:rsidRDefault="00B67AB6" w:rsidP="00B67AB6">
      <w:pPr>
        <w:tabs>
          <w:tab w:val="left" w:pos="5835"/>
        </w:tabs>
      </w:pPr>
      <w:r>
        <w:tab/>
      </w:r>
    </w:p>
    <w:p w14:paraId="2CF81832" w14:textId="77777777" w:rsidR="00D7047A" w:rsidRPr="002E0043" w:rsidRDefault="00DD6B5E" w:rsidP="005A440E">
      <w:pPr>
        <w:pBdr>
          <w:bottom w:val="single" w:sz="4" w:space="0"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44C4F9AD"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53AB2E93" w14:textId="77777777" w:rsidR="004D0E10" w:rsidRDefault="004D0E10" w:rsidP="00A167EC">
      <w:pPr>
        <w:ind w:right="-720"/>
        <w:rPr>
          <w:rFonts w:ascii="Arial" w:hAnsi="Arial" w:cs="Arial"/>
          <w:b/>
          <w:sz w:val="72"/>
          <w:szCs w:val="72"/>
        </w:rPr>
      </w:pPr>
    </w:p>
    <w:p w14:paraId="6926973D" w14:textId="77777777" w:rsidR="004D0E10" w:rsidRDefault="004D0E10" w:rsidP="00A167EC">
      <w:pPr>
        <w:ind w:right="-720"/>
        <w:rPr>
          <w:rFonts w:ascii="Arial" w:hAnsi="Arial" w:cs="Arial"/>
          <w:b/>
          <w:sz w:val="72"/>
          <w:szCs w:val="72"/>
        </w:rPr>
      </w:pPr>
    </w:p>
    <w:p w14:paraId="0884F733" w14:textId="77777777" w:rsidR="004D0E10" w:rsidRDefault="004D0E10" w:rsidP="00A167EC">
      <w:pPr>
        <w:ind w:right="-720"/>
        <w:rPr>
          <w:rFonts w:ascii="Arial" w:hAnsi="Arial" w:cs="Arial"/>
          <w:b/>
          <w:sz w:val="72"/>
          <w:szCs w:val="72"/>
        </w:rPr>
      </w:pPr>
    </w:p>
    <w:p w14:paraId="700C128D" w14:textId="77777777" w:rsidR="00324D0F" w:rsidRDefault="004464AA" w:rsidP="00A167EC">
      <w:pPr>
        <w:ind w:right="-720"/>
        <w:rPr>
          <w:rFonts w:ascii="Arial" w:hAnsi="Arial" w:cs="Arial"/>
          <w:b/>
        </w:rPr>
      </w:pPr>
      <w:r w:rsidRPr="004464AA">
        <w:rPr>
          <w:rFonts w:ascii="Arial" w:hAnsi="Arial" w:cs="Arial"/>
          <w:b/>
          <w:sz w:val="72"/>
          <w:szCs w:val="72"/>
        </w:rPr>
        <w:t xml:space="preserve">LED </w:t>
      </w:r>
      <w:r w:rsidR="008D3D2D">
        <w:rPr>
          <w:rFonts w:ascii="Arial" w:hAnsi="Arial" w:cs="Arial"/>
          <w:b/>
          <w:sz w:val="72"/>
          <w:szCs w:val="72"/>
        </w:rPr>
        <w:t>High-Bay and Low-Bay Fixtures</w:t>
      </w:r>
      <w:r w:rsidR="00735CB1">
        <w:rPr>
          <w:rFonts w:ascii="Arial" w:hAnsi="Arial" w:cs="Arial"/>
          <w:b/>
          <w:sz w:val="72"/>
          <w:szCs w:val="72"/>
        </w:rPr>
        <w:t xml:space="preserve"> </w:t>
      </w:r>
    </w:p>
    <w:p w14:paraId="1A309FD0" w14:textId="165654D5" w:rsidR="00CB3583" w:rsidRPr="001F32D3" w:rsidRDefault="00A167EC" w:rsidP="008D3D2D">
      <w:pPr>
        <w:ind w:right="-720"/>
        <w:rPr>
          <w:rFonts w:ascii="Arial" w:hAnsi="Arial" w:cs="Arial"/>
          <w:b/>
          <w:color w:val="FF0000"/>
        </w:rPr>
      </w:pPr>
      <w:r w:rsidRPr="00CB3583">
        <w:rPr>
          <w:rFonts w:ascii="Arial" w:hAnsi="Arial" w:cs="Arial"/>
          <w:b/>
        </w:rPr>
        <w:t>Measure Code</w:t>
      </w:r>
      <w:r w:rsidRPr="003B2DE1">
        <w:rPr>
          <w:rFonts w:ascii="Arial" w:hAnsi="Arial" w:cs="Arial"/>
          <w:b/>
          <w:color w:val="000000" w:themeColor="text1"/>
        </w:rPr>
        <w:t>s</w:t>
      </w:r>
      <w:r w:rsidR="00AD1173" w:rsidRPr="003B2DE1">
        <w:rPr>
          <w:rFonts w:ascii="Arial" w:hAnsi="Arial" w:cs="Arial"/>
          <w:b/>
          <w:color w:val="000000" w:themeColor="text1"/>
        </w:rPr>
        <w:t xml:space="preserve">: </w:t>
      </w:r>
      <w:r w:rsidR="001F32D3" w:rsidRPr="001F32D3">
        <w:rPr>
          <w:rFonts w:ascii="Arial" w:hAnsi="Arial" w:cs="Arial"/>
          <w:b/>
          <w:color w:val="000000" w:themeColor="text1"/>
        </w:rPr>
        <w:t>LT376</w:t>
      </w:r>
      <w:r w:rsidR="00FF3835" w:rsidRPr="001F32D3">
        <w:rPr>
          <w:rFonts w:ascii="Arial" w:hAnsi="Arial" w:cs="Arial"/>
          <w:b/>
          <w:color w:val="000000" w:themeColor="text1"/>
        </w:rPr>
        <w:t xml:space="preserve"> – LT3</w:t>
      </w:r>
      <w:r w:rsidR="001F32D3" w:rsidRPr="001F32D3">
        <w:rPr>
          <w:rFonts w:ascii="Arial" w:hAnsi="Arial" w:cs="Arial"/>
          <w:b/>
          <w:color w:val="000000" w:themeColor="text1"/>
        </w:rPr>
        <w:t>93</w:t>
      </w:r>
    </w:p>
    <w:p w14:paraId="566FBA50" w14:textId="77777777" w:rsidR="00E71EF1" w:rsidRDefault="00C93E64" w:rsidP="00E71EF1">
      <w:pPr>
        <w:pStyle w:val="Heading1"/>
      </w:pPr>
      <w:r>
        <w:br w:type="page"/>
      </w:r>
      <w:bookmarkStart w:id="2" w:name="_Toc511038021"/>
      <w:bookmarkStart w:id="3" w:name="_Toc511244872"/>
      <w:r w:rsidR="00E731C6">
        <w:lastRenderedPageBreak/>
        <w:t>At-</w:t>
      </w:r>
      <w:r w:rsidR="00E71EF1">
        <w:t>a</w:t>
      </w:r>
      <w:r w:rsidR="00E731C6">
        <w:t>-</w:t>
      </w:r>
      <w:r w:rsidR="00E71EF1">
        <w:t>Glance Summary</w:t>
      </w:r>
      <w:bookmarkEnd w:id="2"/>
      <w:bookmarkEnd w:id="3"/>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5487"/>
      </w:tblGrid>
      <w:tr w:rsidR="008D3D2D" w:rsidRPr="00783DAC" w14:paraId="6FC6B77D" w14:textId="77777777" w:rsidTr="00B957F5">
        <w:trPr>
          <w:trHeight w:val="465"/>
        </w:trPr>
        <w:tc>
          <w:tcPr>
            <w:tcW w:w="4161" w:type="dxa"/>
            <w:shd w:val="clear" w:color="auto" w:fill="FFFFFF" w:themeFill="background1"/>
          </w:tcPr>
          <w:p w14:paraId="174B8168" w14:textId="77777777" w:rsidR="008D3D2D" w:rsidRPr="00F027AA" w:rsidRDefault="008D3D2D" w:rsidP="0028709C">
            <w:pPr>
              <w:rPr>
                <w:b/>
                <w:bCs/>
              </w:rPr>
            </w:pPr>
            <w:r w:rsidRPr="00F027AA">
              <w:rPr>
                <w:b/>
                <w:bCs/>
              </w:rPr>
              <w:t>Applicable Measure Codes:</w:t>
            </w:r>
          </w:p>
        </w:tc>
        <w:tc>
          <w:tcPr>
            <w:tcW w:w="5487" w:type="dxa"/>
            <w:shd w:val="clear" w:color="auto" w:fill="FFFFFF" w:themeFill="background1"/>
          </w:tcPr>
          <w:p w14:paraId="46B02D4D" w14:textId="44DB9BAF" w:rsidR="006256F8" w:rsidRPr="001F32D3" w:rsidRDefault="00643F1E" w:rsidP="00EB4927">
            <w:pPr>
              <w:rPr>
                <w:bCs/>
                <w:sz w:val="20"/>
                <w:szCs w:val="20"/>
              </w:rPr>
            </w:pPr>
            <w:r w:rsidRPr="001F32D3">
              <w:rPr>
                <w:bCs/>
                <w:sz w:val="20"/>
                <w:szCs w:val="20"/>
              </w:rPr>
              <w:t>LT3</w:t>
            </w:r>
            <w:r w:rsidR="001F32D3" w:rsidRPr="001F32D3">
              <w:rPr>
                <w:bCs/>
                <w:sz w:val="20"/>
                <w:szCs w:val="20"/>
              </w:rPr>
              <w:t>76</w:t>
            </w:r>
            <w:r w:rsidR="00FF3835" w:rsidRPr="001F32D3">
              <w:rPr>
                <w:bCs/>
                <w:sz w:val="20"/>
                <w:szCs w:val="20"/>
              </w:rPr>
              <w:t xml:space="preserve"> – LT3</w:t>
            </w:r>
            <w:r w:rsidR="001F32D3" w:rsidRPr="001F32D3">
              <w:rPr>
                <w:bCs/>
                <w:sz w:val="20"/>
                <w:szCs w:val="20"/>
              </w:rPr>
              <w:t>93</w:t>
            </w:r>
          </w:p>
        </w:tc>
      </w:tr>
      <w:tr w:rsidR="008D3D2D" w:rsidRPr="00783DAC" w14:paraId="3DDA0D23" w14:textId="77777777" w:rsidTr="00B957F5">
        <w:trPr>
          <w:trHeight w:val="465"/>
        </w:trPr>
        <w:tc>
          <w:tcPr>
            <w:tcW w:w="4161" w:type="dxa"/>
            <w:shd w:val="clear" w:color="auto" w:fill="FFFFFF" w:themeFill="background1"/>
          </w:tcPr>
          <w:p w14:paraId="357A326B" w14:textId="77777777" w:rsidR="008D3D2D" w:rsidRPr="00F027AA" w:rsidRDefault="008D3D2D" w:rsidP="0028709C">
            <w:pPr>
              <w:rPr>
                <w:b/>
              </w:rPr>
            </w:pPr>
            <w:r w:rsidRPr="00F027AA">
              <w:rPr>
                <w:b/>
              </w:rPr>
              <w:t xml:space="preserve">Measure Description: </w:t>
            </w:r>
          </w:p>
        </w:tc>
        <w:tc>
          <w:tcPr>
            <w:tcW w:w="5487" w:type="dxa"/>
            <w:shd w:val="clear" w:color="auto" w:fill="FFFFFF" w:themeFill="background1"/>
          </w:tcPr>
          <w:p w14:paraId="73F027DC" w14:textId="77777777" w:rsidR="008D3D2D" w:rsidRDefault="008D3D2D" w:rsidP="008D3D2D">
            <w:pPr>
              <w:rPr>
                <w:bCs/>
                <w:sz w:val="20"/>
                <w:szCs w:val="20"/>
              </w:rPr>
            </w:pPr>
            <w:r w:rsidRPr="005F3DA0">
              <w:rPr>
                <w:bCs/>
                <w:sz w:val="20"/>
                <w:szCs w:val="20"/>
              </w:rPr>
              <w:t>LED High-Bay and Low-Bay Fixtures, various wattages</w:t>
            </w:r>
          </w:p>
          <w:p w14:paraId="0F0A8B49" w14:textId="4077A736" w:rsidR="00F44B64" w:rsidRDefault="00F44B64" w:rsidP="008D3D2D">
            <w:pPr>
              <w:rPr>
                <w:bCs/>
                <w:sz w:val="20"/>
                <w:szCs w:val="20"/>
              </w:rPr>
            </w:pPr>
            <w:r>
              <w:rPr>
                <w:bCs/>
                <w:sz w:val="20"/>
                <w:szCs w:val="20"/>
              </w:rPr>
              <w:t xml:space="preserve">Tier 1:  </w:t>
            </w:r>
            <w:r w:rsidR="00637D30">
              <w:rPr>
                <w:bCs/>
                <w:sz w:val="20"/>
                <w:szCs w:val="20"/>
              </w:rPr>
              <w:t>Efficacy</w:t>
            </w:r>
            <w:r>
              <w:rPr>
                <w:bCs/>
                <w:sz w:val="20"/>
                <w:szCs w:val="20"/>
              </w:rPr>
              <w:t xml:space="preserve"> of 1</w:t>
            </w:r>
            <w:r w:rsidR="00637D30">
              <w:rPr>
                <w:bCs/>
                <w:sz w:val="20"/>
                <w:szCs w:val="20"/>
              </w:rPr>
              <w:t>1</w:t>
            </w:r>
            <w:r w:rsidR="00941175">
              <w:rPr>
                <w:bCs/>
                <w:sz w:val="20"/>
                <w:szCs w:val="20"/>
              </w:rPr>
              <w:t>0 - 125</w:t>
            </w:r>
            <w:r>
              <w:rPr>
                <w:bCs/>
                <w:sz w:val="20"/>
                <w:szCs w:val="20"/>
              </w:rPr>
              <w:t xml:space="preserve"> lumens per watt</w:t>
            </w:r>
          </w:p>
          <w:p w14:paraId="2BECFE07" w14:textId="1C048DDF" w:rsidR="00F44B64" w:rsidRPr="005F3DA0" w:rsidRDefault="00F44B64" w:rsidP="008D3D2D">
            <w:pPr>
              <w:rPr>
                <w:bCs/>
                <w:sz w:val="20"/>
                <w:szCs w:val="20"/>
              </w:rPr>
            </w:pPr>
            <w:r>
              <w:rPr>
                <w:bCs/>
                <w:sz w:val="20"/>
                <w:szCs w:val="20"/>
              </w:rPr>
              <w:t xml:space="preserve">Tier 2:  </w:t>
            </w:r>
            <w:r w:rsidR="00437479">
              <w:rPr>
                <w:bCs/>
                <w:sz w:val="20"/>
                <w:szCs w:val="20"/>
              </w:rPr>
              <w:t>Efficacy</w:t>
            </w:r>
            <w:r>
              <w:rPr>
                <w:bCs/>
                <w:sz w:val="20"/>
                <w:szCs w:val="20"/>
              </w:rPr>
              <w:t xml:space="preserve"> of 130</w:t>
            </w:r>
            <w:r w:rsidR="00941175">
              <w:rPr>
                <w:bCs/>
                <w:sz w:val="20"/>
                <w:szCs w:val="20"/>
              </w:rPr>
              <w:t xml:space="preserve"> - 135</w:t>
            </w:r>
            <w:r>
              <w:rPr>
                <w:bCs/>
                <w:sz w:val="20"/>
                <w:szCs w:val="20"/>
              </w:rPr>
              <w:t xml:space="preserve"> lumens per watt</w:t>
            </w:r>
          </w:p>
        </w:tc>
      </w:tr>
      <w:tr w:rsidR="00735CF0" w:rsidRPr="00783DAC" w14:paraId="4B9404F6" w14:textId="77777777" w:rsidTr="00B957F5">
        <w:trPr>
          <w:trHeight w:val="465"/>
        </w:trPr>
        <w:tc>
          <w:tcPr>
            <w:tcW w:w="4161" w:type="dxa"/>
            <w:shd w:val="clear" w:color="auto" w:fill="FFFFFF" w:themeFill="background1"/>
          </w:tcPr>
          <w:p w14:paraId="7136D333" w14:textId="77777777" w:rsidR="00735CF0" w:rsidRPr="00F027AA" w:rsidRDefault="00735CF0" w:rsidP="0028709C">
            <w:pPr>
              <w:rPr>
                <w:b/>
              </w:rPr>
            </w:pPr>
            <w:r w:rsidRPr="00F027AA">
              <w:rPr>
                <w:b/>
              </w:rPr>
              <w:t xml:space="preserve">Energy Impact Common Units: </w:t>
            </w:r>
          </w:p>
        </w:tc>
        <w:tc>
          <w:tcPr>
            <w:tcW w:w="5487" w:type="dxa"/>
            <w:shd w:val="clear" w:color="auto" w:fill="FFFFFF" w:themeFill="background1"/>
          </w:tcPr>
          <w:p w14:paraId="5F514369" w14:textId="57DFD438" w:rsidR="00735CF0" w:rsidRPr="005F3DA0" w:rsidRDefault="00437479" w:rsidP="008D3D2D">
            <w:pPr>
              <w:rPr>
                <w:bCs/>
                <w:sz w:val="20"/>
                <w:szCs w:val="20"/>
              </w:rPr>
            </w:pPr>
            <w:r>
              <w:rPr>
                <w:bCs/>
                <w:sz w:val="20"/>
                <w:szCs w:val="20"/>
              </w:rPr>
              <w:t>Each fixture</w:t>
            </w:r>
          </w:p>
        </w:tc>
      </w:tr>
      <w:tr w:rsidR="00735CF0" w:rsidRPr="00783DAC" w14:paraId="5EFF6282" w14:textId="77777777" w:rsidTr="00B957F5">
        <w:trPr>
          <w:trHeight w:val="465"/>
        </w:trPr>
        <w:tc>
          <w:tcPr>
            <w:tcW w:w="4161" w:type="dxa"/>
            <w:shd w:val="clear" w:color="auto" w:fill="FFFFFF" w:themeFill="background1"/>
          </w:tcPr>
          <w:p w14:paraId="088F27D7" w14:textId="77777777" w:rsidR="00735CF0" w:rsidRPr="00F027AA" w:rsidRDefault="00735CF0" w:rsidP="0028709C">
            <w:pPr>
              <w:rPr>
                <w:b/>
              </w:rPr>
            </w:pPr>
            <w:r w:rsidRPr="00F027AA">
              <w:rPr>
                <w:b/>
              </w:rPr>
              <w:t>Base Case Description:</w:t>
            </w:r>
          </w:p>
        </w:tc>
        <w:tc>
          <w:tcPr>
            <w:tcW w:w="5487" w:type="dxa"/>
            <w:shd w:val="clear" w:color="auto" w:fill="FFFFFF" w:themeFill="background1"/>
          </w:tcPr>
          <w:p w14:paraId="76F807BE" w14:textId="384451A8" w:rsidR="00735CF0" w:rsidRPr="005F3DA0" w:rsidRDefault="006144FB" w:rsidP="0037707D">
            <w:pPr>
              <w:rPr>
                <w:bCs/>
                <w:sz w:val="20"/>
                <w:szCs w:val="20"/>
              </w:rPr>
            </w:pPr>
            <w:r>
              <w:rPr>
                <w:bCs/>
                <w:color w:val="000000" w:themeColor="text1"/>
                <w:sz w:val="20"/>
                <w:szCs w:val="20"/>
              </w:rPr>
              <w:t xml:space="preserve">Percentage mix of high performance </w:t>
            </w:r>
            <w:r w:rsidR="00B67AB6" w:rsidRPr="006144FB">
              <w:rPr>
                <w:bCs/>
                <w:color w:val="000000" w:themeColor="text1"/>
                <w:sz w:val="20"/>
                <w:szCs w:val="20"/>
              </w:rPr>
              <w:t xml:space="preserve">Linear </w:t>
            </w:r>
            <w:r w:rsidR="008D3D2D" w:rsidRPr="006144FB">
              <w:rPr>
                <w:bCs/>
                <w:color w:val="000000" w:themeColor="text1"/>
                <w:sz w:val="20"/>
                <w:szCs w:val="20"/>
              </w:rPr>
              <w:t>Fluorescent F</w:t>
            </w:r>
            <w:r w:rsidR="00DF6547" w:rsidRPr="006144FB">
              <w:rPr>
                <w:bCs/>
                <w:color w:val="000000" w:themeColor="text1"/>
                <w:sz w:val="20"/>
                <w:szCs w:val="20"/>
              </w:rPr>
              <w:t>ixture</w:t>
            </w:r>
            <w:r>
              <w:rPr>
                <w:bCs/>
                <w:color w:val="000000" w:themeColor="text1"/>
                <w:sz w:val="20"/>
                <w:szCs w:val="20"/>
              </w:rPr>
              <w:t>s</w:t>
            </w:r>
            <w:r w:rsidR="00DF6547" w:rsidRPr="006144FB">
              <w:rPr>
                <w:bCs/>
                <w:color w:val="000000" w:themeColor="text1"/>
                <w:sz w:val="20"/>
                <w:szCs w:val="20"/>
              </w:rPr>
              <w:t xml:space="preserve"> with </w:t>
            </w:r>
            <w:r w:rsidR="00B56D9D" w:rsidRPr="006144FB">
              <w:rPr>
                <w:bCs/>
                <w:color w:val="000000" w:themeColor="text1"/>
                <w:sz w:val="20"/>
                <w:szCs w:val="20"/>
              </w:rPr>
              <w:t xml:space="preserve">2, 3, </w:t>
            </w:r>
            <w:r w:rsidR="00DF6547" w:rsidRPr="006144FB">
              <w:rPr>
                <w:bCs/>
                <w:color w:val="000000" w:themeColor="text1"/>
                <w:sz w:val="20"/>
                <w:szCs w:val="20"/>
              </w:rPr>
              <w:t xml:space="preserve">4, </w:t>
            </w:r>
            <w:r>
              <w:rPr>
                <w:bCs/>
                <w:color w:val="000000" w:themeColor="text1"/>
                <w:sz w:val="20"/>
                <w:szCs w:val="20"/>
              </w:rPr>
              <w:t xml:space="preserve">6, </w:t>
            </w:r>
            <w:r w:rsidR="00DF6547" w:rsidRPr="006144FB">
              <w:rPr>
                <w:bCs/>
                <w:color w:val="000000" w:themeColor="text1"/>
                <w:sz w:val="20"/>
                <w:szCs w:val="20"/>
              </w:rPr>
              <w:t>8</w:t>
            </w:r>
            <w:r>
              <w:rPr>
                <w:bCs/>
                <w:color w:val="000000" w:themeColor="text1"/>
                <w:sz w:val="20"/>
                <w:szCs w:val="20"/>
              </w:rPr>
              <w:t>, and 10</w:t>
            </w:r>
            <w:r w:rsidR="00DF6547" w:rsidRPr="006144FB">
              <w:rPr>
                <w:bCs/>
                <w:color w:val="000000" w:themeColor="text1"/>
                <w:sz w:val="20"/>
                <w:szCs w:val="20"/>
              </w:rPr>
              <w:t xml:space="preserve"> </w:t>
            </w:r>
            <w:r w:rsidR="00941175">
              <w:rPr>
                <w:bCs/>
                <w:color w:val="000000" w:themeColor="text1"/>
                <w:sz w:val="20"/>
                <w:szCs w:val="20"/>
              </w:rPr>
              <w:t>lamps and LED – DLC v4.3</w:t>
            </w:r>
            <w:r>
              <w:rPr>
                <w:bCs/>
                <w:color w:val="000000" w:themeColor="text1"/>
                <w:sz w:val="20"/>
                <w:szCs w:val="20"/>
              </w:rPr>
              <w:t>+ Standard efficacy</w:t>
            </w:r>
            <w:r>
              <w:rPr>
                <w:bCs/>
                <w:sz w:val="20"/>
                <w:szCs w:val="20"/>
              </w:rPr>
              <w:t xml:space="preserve"> </w:t>
            </w:r>
          </w:p>
          <w:p w14:paraId="244DFD69" w14:textId="77777777" w:rsidR="00735CF0" w:rsidRPr="005F3DA0" w:rsidRDefault="00735CF0" w:rsidP="008D3D2D">
            <w:pPr>
              <w:rPr>
                <w:bCs/>
                <w:sz w:val="20"/>
                <w:szCs w:val="20"/>
              </w:rPr>
            </w:pPr>
            <w:r w:rsidRPr="005F3DA0">
              <w:rPr>
                <w:bCs/>
                <w:sz w:val="20"/>
                <w:szCs w:val="20"/>
              </w:rPr>
              <w:t>Source: PG&amp;E Calculations.</w:t>
            </w:r>
          </w:p>
        </w:tc>
      </w:tr>
      <w:tr w:rsidR="00735CF0" w:rsidRPr="00783DAC" w14:paraId="21C2AE37" w14:textId="77777777" w:rsidTr="00B957F5">
        <w:trPr>
          <w:trHeight w:val="465"/>
        </w:trPr>
        <w:tc>
          <w:tcPr>
            <w:tcW w:w="4161" w:type="dxa"/>
            <w:shd w:val="clear" w:color="auto" w:fill="FFFFFF" w:themeFill="background1"/>
          </w:tcPr>
          <w:p w14:paraId="06730C5E" w14:textId="77777777" w:rsidR="00735CF0" w:rsidRPr="00F027AA" w:rsidRDefault="00735CF0" w:rsidP="0028709C">
            <w:pPr>
              <w:rPr>
                <w:b/>
              </w:rPr>
            </w:pPr>
            <w:r w:rsidRPr="00F027AA">
              <w:rPr>
                <w:b/>
              </w:rPr>
              <w:t xml:space="preserve">Base Case Energy Consumption: </w:t>
            </w:r>
          </w:p>
        </w:tc>
        <w:tc>
          <w:tcPr>
            <w:tcW w:w="5487" w:type="dxa"/>
            <w:shd w:val="clear" w:color="auto" w:fill="FFFFFF" w:themeFill="background1"/>
          </w:tcPr>
          <w:p w14:paraId="06AE1E49" w14:textId="77777777" w:rsidR="00735CF0" w:rsidRPr="005F3DA0" w:rsidRDefault="009B277A" w:rsidP="0037707D">
            <w:pPr>
              <w:rPr>
                <w:bCs/>
                <w:sz w:val="20"/>
                <w:szCs w:val="20"/>
              </w:rPr>
            </w:pPr>
            <w:r w:rsidRPr="005F3DA0">
              <w:rPr>
                <w:sz w:val="20"/>
                <w:szCs w:val="20"/>
              </w:rPr>
              <w:t>Various. Refer to .xlsx file attached</w:t>
            </w:r>
          </w:p>
          <w:p w14:paraId="60CC8978" w14:textId="77777777" w:rsidR="00735CF0" w:rsidRPr="005F3DA0" w:rsidRDefault="00735CF0" w:rsidP="008D3D2D">
            <w:pPr>
              <w:rPr>
                <w:bCs/>
                <w:sz w:val="20"/>
                <w:szCs w:val="20"/>
              </w:rPr>
            </w:pPr>
            <w:r w:rsidRPr="005F3DA0">
              <w:rPr>
                <w:bCs/>
                <w:sz w:val="20"/>
                <w:szCs w:val="20"/>
              </w:rPr>
              <w:t>Source: PG&amp;E Calculations.</w:t>
            </w:r>
          </w:p>
        </w:tc>
      </w:tr>
      <w:tr w:rsidR="00735CF0" w:rsidRPr="00783DAC" w14:paraId="57D57124" w14:textId="77777777" w:rsidTr="00B957F5">
        <w:trPr>
          <w:trHeight w:val="465"/>
        </w:trPr>
        <w:tc>
          <w:tcPr>
            <w:tcW w:w="4161" w:type="dxa"/>
            <w:shd w:val="clear" w:color="auto" w:fill="FFFFFF" w:themeFill="background1"/>
          </w:tcPr>
          <w:p w14:paraId="44A243DB" w14:textId="77777777" w:rsidR="00735CF0" w:rsidRPr="00F027AA" w:rsidRDefault="00735CF0" w:rsidP="0028709C">
            <w:pPr>
              <w:rPr>
                <w:b/>
              </w:rPr>
            </w:pPr>
            <w:r w:rsidRPr="00F027AA">
              <w:rPr>
                <w:b/>
              </w:rPr>
              <w:t>Measure Energy Consumption:</w:t>
            </w:r>
          </w:p>
          <w:p w14:paraId="2011F42A" w14:textId="77777777" w:rsidR="00735CF0" w:rsidRPr="00F027AA" w:rsidRDefault="00735CF0" w:rsidP="0028709C">
            <w:pPr>
              <w:rPr>
                <w:rFonts w:ascii="Arial" w:hAnsi="Arial" w:cs="Arial"/>
                <w:b/>
                <w:sz w:val="20"/>
                <w:szCs w:val="20"/>
              </w:rPr>
            </w:pPr>
          </w:p>
        </w:tc>
        <w:tc>
          <w:tcPr>
            <w:tcW w:w="5487" w:type="dxa"/>
            <w:shd w:val="clear" w:color="auto" w:fill="FFFFFF" w:themeFill="background1"/>
          </w:tcPr>
          <w:p w14:paraId="6BD0AD4C" w14:textId="77777777" w:rsidR="00735CF0" w:rsidRPr="005F3DA0" w:rsidRDefault="009B277A" w:rsidP="0037707D">
            <w:pPr>
              <w:rPr>
                <w:bCs/>
                <w:sz w:val="20"/>
                <w:szCs w:val="20"/>
              </w:rPr>
            </w:pPr>
            <w:r w:rsidRPr="005F3DA0">
              <w:rPr>
                <w:sz w:val="20"/>
                <w:szCs w:val="20"/>
              </w:rPr>
              <w:t>Various. Refer to .xlsx file attached</w:t>
            </w:r>
          </w:p>
          <w:p w14:paraId="3F9525BC" w14:textId="77777777" w:rsidR="00735CF0" w:rsidRPr="005F3DA0" w:rsidRDefault="00735CF0" w:rsidP="008D3D2D">
            <w:pPr>
              <w:rPr>
                <w:bCs/>
                <w:sz w:val="20"/>
                <w:szCs w:val="20"/>
              </w:rPr>
            </w:pPr>
            <w:r w:rsidRPr="005F3DA0">
              <w:rPr>
                <w:bCs/>
                <w:sz w:val="20"/>
                <w:szCs w:val="20"/>
              </w:rPr>
              <w:t>Source: PG&amp;E Calculations.</w:t>
            </w:r>
          </w:p>
        </w:tc>
      </w:tr>
      <w:tr w:rsidR="00735CF0" w:rsidRPr="00783DAC" w14:paraId="642659C0" w14:textId="77777777" w:rsidTr="00B957F5">
        <w:trPr>
          <w:trHeight w:val="465"/>
        </w:trPr>
        <w:tc>
          <w:tcPr>
            <w:tcW w:w="4161" w:type="dxa"/>
            <w:shd w:val="clear" w:color="auto" w:fill="FFFFFF" w:themeFill="background1"/>
          </w:tcPr>
          <w:p w14:paraId="326255BC" w14:textId="77777777" w:rsidR="00735CF0" w:rsidRPr="00F027AA" w:rsidRDefault="00735CF0" w:rsidP="0028709C">
            <w:pPr>
              <w:rPr>
                <w:b/>
              </w:rPr>
            </w:pPr>
            <w:r w:rsidRPr="00F027AA">
              <w:rPr>
                <w:b/>
              </w:rPr>
              <w:t>Energy Savings (Base Case – Measure)</w:t>
            </w:r>
            <w:r w:rsidR="00946BD7">
              <w:rPr>
                <w:b/>
              </w:rPr>
              <w:t>:</w:t>
            </w:r>
          </w:p>
        </w:tc>
        <w:tc>
          <w:tcPr>
            <w:tcW w:w="5487" w:type="dxa"/>
            <w:shd w:val="clear" w:color="auto" w:fill="FFFFFF" w:themeFill="background1"/>
          </w:tcPr>
          <w:p w14:paraId="017FD71B" w14:textId="77777777" w:rsidR="00735CF0" w:rsidRPr="005F3DA0" w:rsidRDefault="009B277A" w:rsidP="0037707D">
            <w:pPr>
              <w:rPr>
                <w:bCs/>
                <w:sz w:val="20"/>
                <w:szCs w:val="20"/>
              </w:rPr>
            </w:pPr>
            <w:r w:rsidRPr="005F3DA0">
              <w:rPr>
                <w:sz w:val="20"/>
                <w:szCs w:val="20"/>
              </w:rPr>
              <w:t>Various. Refer to .xlsx file attached</w:t>
            </w:r>
          </w:p>
          <w:p w14:paraId="206BD711" w14:textId="77777777" w:rsidR="00735CF0" w:rsidRPr="005F3DA0" w:rsidRDefault="00735CF0" w:rsidP="0037707D">
            <w:pPr>
              <w:rPr>
                <w:bCs/>
                <w:sz w:val="20"/>
                <w:szCs w:val="20"/>
              </w:rPr>
            </w:pPr>
            <w:r w:rsidRPr="005F3DA0">
              <w:rPr>
                <w:bCs/>
                <w:sz w:val="20"/>
                <w:szCs w:val="20"/>
              </w:rPr>
              <w:t>Source: PG&amp;E Calculations.</w:t>
            </w:r>
          </w:p>
        </w:tc>
      </w:tr>
      <w:tr w:rsidR="00735CF0" w:rsidRPr="00783DAC" w14:paraId="4507C4B6" w14:textId="77777777" w:rsidTr="00B957F5">
        <w:trPr>
          <w:trHeight w:val="486"/>
        </w:trPr>
        <w:tc>
          <w:tcPr>
            <w:tcW w:w="4161" w:type="dxa"/>
            <w:shd w:val="clear" w:color="auto" w:fill="FFFFFF" w:themeFill="background1"/>
          </w:tcPr>
          <w:p w14:paraId="2E4E1765" w14:textId="77777777" w:rsidR="00735CF0" w:rsidRPr="00F027AA" w:rsidRDefault="00735CF0" w:rsidP="0028709C">
            <w:pPr>
              <w:rPr>
                <w:b/>
              </w:rPr>
            </w:pPr>
            <w:r w:rsidRPr="00F027AA">
              <w:rPr>
                <w:b/>
              </w:rPr>
              <w:t xml:space="preserve">Costs Common Units: </w:t>
            </w:r>
          </w:p>
        </w:tc>
        <w:tc>
          <w:tcPr>
            <w:tcW w:w="5487" w:type="dxa"/>
            <w:shd w:val="clear" w:color="auto" w:fill="FFFFFF" w:themeFill="background1"/>
          </w:tcPr>
          <w:p w14:paraId="04E44A6C" w14:textId="77777777" w:rsidR="00735CF0" w:rsidRPr="00751E98" w:rsidRDefault="00735CF0" w:rsidP="0035498F">
            <w:pPr>
              <w:pStyle w:val="EndnoteText"/>
              <w:rPr>
                <w:bCs/>
                <w:color w:val="FF0000"/>
              </w:rPr>
            </w:pPr>
            <w:r w:rsidRPr="00C10797">
              <w:rPr>
                <w:bCs/>
              </w:rPr>
              <w:t xml:space="preserve">$ </w:t>
            </w:r>
            <w:r w:rsidR="006E0C8B" w:rsidRPr="00C10797">
              <w:rPr>
                <w:bCs/>
              </w:rPr>
              <w:t>Per</w:t>
            </w:r>
            <w:r w:rsidRPr="00C10797">
              <w:rPr>
                <w:bCs/>
              </w:rPr>
              <w:t xml:space="preserve"> </w:t>
            </w:r>
            <w:r w:rsidR="0035498F" w:rsidRPr="00C10797">
              <w:rPr>
                <w:bCs/>
              </w:rPr>
              <w:t>fixture</w:t>
            </w:r>
            <w:r w:rsidRPr="00C10797">
              <w:rPr>
                <w:bCs/>
              </w:rPr>
              <w:t>.</w:t>
            </w:r>
          </w:p>
        </w:tc>
      </w:tr>
      <w:tr w:rsidR="00735CF0" w:rsidRPr="00783DAC" w14:paraId="1D912149" w14:textId="77777777" w:rsidTr="00B957F5">
        <w:trPr>
          <w:trHeight w:val="465"/>
        </w:trPr>
        <w:tc>
          <w:tcPr>
            <w:tcW w:w="4161" w:type="dxa"/>
            <w:shd w:val="clear" w:color="auto" w:fill="FFFFFF" w:themeFill="background1"/>
          </w:tcPr>
          <w:p w14:paraId="56124BCA" w14:textId="77777777" w:rsidR="00735CF0" w:rsidRPr="00946BD7" w:rsidRDefault="00735CF0" w:rsidP="0028709C">
            <w:pPr>
              <w:rPr>
                <w:b/>
              </w:rPr>
            </w:pPr>
            <w:r w:rsidRPr="00F027AA">
              <w:rPr>
                <w:b/>
              </w:rPr>
              <w:t>Base Case Equipment Cost ($/</w:t>
            </w:r>
            <w:r w:rsidR="00946BD7">
              <w:rPr>
                <w:b/>
              </w:rPr>
              <w:t>fixture</w:t>
            </w:r>
            <w:r w:rsidRPr="00F027AA">
              <w:rPr>
                <w:b/>
              </w:rPr>
              <w:t>):</w:t>
            </w:r>
          </w:p>
        </w:tc>
        <w:tc>
          <w:tcPr>
            <w:tcW w:w="5487" w:type="dxa"/>
            <w:shd w:val="clear" w:color="auto" w:fill="FFFFFF" w:themeFill="background1"/>
          </w:tcPr>
          <w:p w14:paraId="16F25DC6" w14:textId="7FDA7839" w:rsidR="00735CF0" w:rsidRPr="005A440E" w:rsidRDefault="00AC40A4" w:rsidP="0037707D">
            <w:pPr>
              <w:rPr>
                <w:bCs/>
                <w:sz w:val="20"/>
                <w:szCs w:val="20"/>
              </w:rPr>
            </w:pPr>
            <w:r w:rsidRPr="005F3DA0">
              <w:rPr>
                <w:sz w:val="20"/>
                <w:szCs w:val="20"/>
              </w:rPr>
              <w:t>Various. Refer to .xlsx file attached</w:t>
            </w:r>
            <w:r w:rsidRPr="005F3DA0">
              <w:rPr>
                <w:bCs/>
                <w:sz w:val="20"/>
                <w:szCs w:val="20"/>
              </w:rPr>
              <w:t>.</w:t>
            </w:r>
          </w:p>
          <w:p w14:paraId="6B044327" w14:textId="100E01B2" w:rsidR="00735CF0" w:rsidRPr="005A440E" w:rsidRDefault="00735CF0" w:rsidP="00BB5BA3">
            <w:pPr>
              <w:rPr>
                <w:bCs/>
                <w:sz w:val="20"/>
                <w:szCs w:val="20"/>
              </w:rPr>
            </w:pPr>
            <w:r w:rsidRPr="005A440E">
              <w:rPr>
                <w:bCs/>
                <w:sz w:val="20"/>
                <w:szCs w:val="20"/>
              </w:rPr>
              <w:t xml:space="preserve">Source: </w:t>
            </w:r>
            <w:r w:rsidR="00190AEF">
              <w:rPr>
                <w:bCs/>
                <w:sz w:val="20"/>
                <w:szCs w:val="20"/>
              </w:rPr>
              <w:t>PG&amp;E Program Data</w:t>
            </w:r>
          </w:p>
        </w:tc>
      </w:tr>
      <w:tr w:rsidR="00735CF0" w:rsidRPr="00783DAC" w14:paraId="56795B29" w14:textId="77777777" w:rsidTr="00B957F5">
        <w:trPr>
          <w:trHeight w:val="465"/>
        </w:trPr>
        <w:tc>
          <w:tcPr>
            <w:tcW w:w="4161" w:type="dxa"/>
            <w:shd w:val="clear" w:color="auto" w:fill="FFFFFF" w:themeFill="background1"/>
          </w:tcPr>
          <w:p w14:paraId="63B6B992" w14:textId="77777777" w:rsidR="00735CF0" w:rsidRPr="00F027AA" w:rsidRDefault="00735CF0" w:rsidP="00D171B6">
            <w:pPr>
              <w:rPr>
                <w:b/>
              </w:rPr>
            </w:pPr>
            <w:r w:rsidRPr="00F027AA">
              <w:rPr>
                <w:b/>
              </w:rPr>
              <w:t>Measure Equipment Cost ($/</w:t>
            </w:r>
            <w:r w:rsidR="00946BD7">
              <w:rPr>
                <w:b/>
              </w:rPr>
              <w:t>fixture</w:t>
            </w:r>
            <w:r w:rsidRPr="00F027AA">
              <w:rPr>
                <w:b/>
              </w:rPr>
              <w:t xml:space="preserve">): </w:t>
            </w:r>
          </w:p>
        </w:tc>
        <w:tc>
          <w:tcPr>
            <w:tcW w:w="5487" w:type="dxa"/>
            <w:shd w:val="clear" w:color="auto" w:fill="FFFFFF" w:themeFill="background1"/>
          </w:tcPr>
          <w:p w14:paraId="73F9FDE3" w14:textId="7E93B062" w:rsidR="00735CF0" w:rsidRPr="005A440E" w:rsidRDefault="001C4E97" w:rsidP="0037707D">
            <w:pPr>
              <w:rPr>
                <w:bCs/>
                <w:sz w:val="20"/>
                <w:szCs w:val="20"/>
              </w:rPr>
            </w:pPr>
            <w:r w:rsidRPr="005F3DA0">
              <w:rPr>
                <w:sz w:val="20"/>
                <w:szCs w:val="20"/>
              </w:rPr>
              <w:t>Various. Refer to .xlsx file attached</w:t>
            </w:r>
          </w:p>
          <w:p w14:paraId="588DE43A" w14:textId="2EA5C3FF" w:rsidR="00735CF0" w:rsidRPr="005A440E" w:rsidRDefault="00735CF0" w:rsidP="00BB5BA3">
            <w:pPr>
              <w:rPr>
                <w:bCs/>
                <w:sz w:val="20"/>
                <w:szCs w:val="20"/>
              </w:rPr>
            </w:pPr>
            <w:r w:rsidRPr="005A440E">
              <w:rPr>
                <w:bCs/>
                <w:sz w:val="20"/>
                <w:szCs w:val="20"/>
              </w:rPr>
              <w:t>Source:</w:t>
            </w:r>
            <w:r w:rsidR="0082354A" w:rsidRPr="005A440E">
              <w:rPr>
                <w:bCs/>
                <w:sz w:val="20"/>
                <w:szCs w:val="20"/>
              </w:rPr>
              <w:t xml:space="preserve"> </w:t>
            </w:r>
            <w:r w:rsidR="00190AEF">
              <w:rPr>
                <w:bCs/>
                <w:sz w:val="20"/>
                <w:szCs w:val="20"/>
              </w:rPr>
              <w:t>PG&amp;E Program Data</w:t>
            </w:r>
          </w:p>
        </w:tc>
      </w:tr>
      <w:tr w:rsidR="00735CF0" w:rsidRPr="00783DAC" w14:paraId="6CD07978" w14:textId="77777777" w:rsidTr="00B957F5">
        <w:trPr>
          <w:trHeight w:val="465"/>
        </w:trPr>
        <w:tc>
          <w:tcPr>
            <w:tcW w:w="4161" w:type="dxa"/>
            <w:shd w:val="clear" w:color="auto" w:fill="FFFFFF" w:themeFill="background1"/>
          </w:tcPr>
          <w:p w14:paraId="08AB28C9" w14:textId="77777777" w:rsidR="00735CF0" w:rsidRPr="00F027AA" w:rsidRDefault="00735CF0" w:rsidP="00D171B6">
            <w:pPr>
              <w:rPr>
                <w:b/>
              </w:rPr>
            </w:pPr>
            <w:r w:rsidRPr="00F027AA">
              <w:rPr>
                <w:b/>
              </w:rPr>
              <w:t>Gross Measure Cost ($/</w:t>
            </w:r>
            <w:r w:rsidR="00946BD7">
              <w:rPr>
                <w:b/>
              </w:rPr>
              <w:t>fixture</w:t>
            </w:r>
            <w:r w:rsidRPr="00F027AA">
              <w:rPr>
                <w:b/>
              </w:rPr>
              <w:t>)</w:t>
            </w:r>
          </w:p>
        </w:tc>
        <w:tc>
          <w:tcPr>
            <w:tcW w:w="5487" w:type="dxa"/>
            <w:shd w:val="clear" w:color="auto" w:fill="FFFFFF" w:themeFill="background1"/>
          </w:tcPr>
          <w:p w14:paraId="29486849" w14:textId="777C65CF" w:rsidR="00735CF0" w:rsidRPr="00751E98" w:rsidRDefault="009B277A" w:rsidP="004464AA">
            <w:pPr>
              <w:rPr>
                <w:bCs/>
                <w:color w:val="FF0000"/>
                <w:sz w:val="20"/>
                <w:szCs w:val="20"/>
              </w:rPr>
            </w:pPr>
            <w:r w:rsidRPr="00331126">
              <w:rPr>
                <w:color w:val="000000" w:themeColor="text1"/>
                <w:sz w:val="20"/>
                <w:szCs w:val="20"/>
              </w:rPr>
              <w:t>Various. Refer to .xlsx file attached</w:t>
            </w:r>
          </w:p>
          <w:p w14:paraId="59D57403" w14:textId="77777777" w:rsidR="00735CF0" w:rsidRPr="00751E98" w:rsidRDefault="00735CF0" w:rsidP="005F3DA0">
            <w:pPr>
              <w:rPr>
                <w:bCs/>
                <w:color w:val="FF0000"/>
                <w:sz w:val="20"/>
                <w:szCs w:val="20"/>
              </w:rPr>
            </w:pPr>
            <w:r w:rsidRPr="00331126">
              <w:rPr>
                <w:bCs/>
                <w:color w:val="000000" w:themeColor="text1"/>
                <w:sz w:val="20"/>
                <w:szCs w:val="20"/>
              </w:rPr>
              <w:t xml:space="preserve">Source: </w:t>
            </w:r>
            <w:r w:rsidR="005F3DA0" w:rsidRPr="00331126">
              <w:rPr>
                <w:bCs/>
                <w:color w:val="000000" w:themeColor="text1"/>
                <w:sz w:val="20"/>
                <w:szCs w:val="20"/>
              </w:rPr>
              <w:t>PG&amp;E Calculations</w:t>
            </w:r>
          </w:p>
        </w:tc>
      </w:tr>
      <w:tr w:rsidR="00735CF0" w:rsidRPr="00783DAC" w14:paraId="2C502B12" w14:textId="77777777" w:rsidTr="00B957F5">
        <w:trPr>
          <w:trHeight w:val="465"/>
        </w:trPr>
        <w:tc>
          <w:tcPr>
            <w:tcW w:w="4161" w:type="dxa"/>
            <w:shd w:val="clear" w:color="auto" w:fill="FFFFFF" w:themeFill="background1"/>
          </w:tcPr>
          <w:p w14:paraId="14D0DD65" w14:textId="2483E58D" w:rsidR="00735CF0" w:rsidRPr="00F027AA" w:rsidRDefault="00735CF0" w:rsidP="00D171B6">
            <w:pPr>
              <w:rPr>
                <w:b/>
              </w:rPr>
            </w:pPr>
            <w:bookmarkStart w:id="4" w:name="OLE_LINK1"/>
            <w:r w:rsidRPr="00F027AA">
              <w:rPr>
                <w:b/>
              </w:rPr>
              <w:t>Measure Incremental Cost ($/</w:t>
            </w:r>
            <w:r w:rsidR="00946BD7">
              <w:rPr>
                <w:b/>
              </w:rPr>
              <w:t>fixture</w:t>
            </w:r>
            <w:r w:rsidRPr="00F027AA">
              <w:rPr>
                <w:b/>
              </w:rPr>
              <w:t xml:space="preserve">): </w:t>
            </w:r>
            <w:bookmarkEnd w:id="4"/>
          </w:p>
        </w:tc>
        <w:tc>
          <w:tcPr>
            <w:tcW w:w="5487" w:type="dxa"/>
            <w:shd w:val="clear" w:color="auto" w:fill="FFFFFF" w:themeFill="background1"/>
          </w:tcPr>
          <w:p w14:paraId="2BCA1547" w14:textId="77777777" w:rsidR="00735CF0" w:rsidRPr="00331126" w:rsidRDefault="009B277A" w:rsidP="0037707D">
            <w:pPr>
              <w:rPr>
                <w:bCs/>
                <w:color w:val="000000" w:themeColor="text1"/>
                <w:sz w:val="20"/>
                <w:szCs w:val="20"/>
              </w:rPr>
            </w:pPr>
            <w:r w:rsidRPr="00331126">
              <w:rPr>
                <w:color w:val="000000" w:themeColor="text1"/>
                <w:sz w:val="20"/>
                <w:szCs w:val="20"/>
              </w:rPr>
              <w:t>Various. Refer to .xlsx file attached</w:t>
            </w:r>
          </w:p>
          <w:p w14:paraId="029F175E" w14:textId="77777777" w:rsidR="00735CF0" w:rsidRPr="00751E98" w:rsidRDefault="00735CF0" w:rsidP="0037707D">
            <w:pPr>
              <w:rPr>
                <w:bCs/>
                <w:color w:val="FF0000"/>
                <w:sz w:val="20"/>
                <w:szCs w:val="20"/>
              </w:rPr>
            </w:pPr>
            <w:r w:rsidRPr="00331126">
              <w:rPr>
                <w:bCs/>
                <w:color w:val="000000" w:themeColor="text1"/>
                <w:sz w:val="20"/>
                <w:szCs w:val="20"/>
              </w:rPr>
              <w:t xml:space="preserve">Source: </w:t>
            </w:r>
            <w:r w:rsidR="005F3DA0" w:rsidRPr="00331126">
              <w:rPr>
                <w:bCs/>
                <w:color w:val="000000" w:themeColor="text1"/>
                <w:sz w:val="20"/>
                <w:szCs w:val="20"/>
              </w:rPr>
              <w:t>PG&amp;E Calculations</w:t>
            </w:r>
          </w:p>
        </w:tc>
      </w:tr>
      <w:tr w:rsidR="00735CF0" w:rsidRPr="00783DAC" w14:paraId="68F7EB7D" w14:textId="77777777" w:rsidTr="00B957F5">
        <w:trPr>
          <w:trHeight w:val="465"/>
        </w:trPr>
        <w:tc>
          <w:tcPr>
            <w:tcW w:w="4161" w:type="dxa"/>
            <w:shd w:val="clear" w:color="auto" w:fill="FFFFFF" w:themeFill="background1"/>
          </w:tcPr>
          <w:p w14:paraId="1A9114AE" w14:textId="77777777" w:rsidR="00735CF0" w:rsidRPr="00F027AA" w:rsidRDefault="00735CF0" w:rsidP="0028709C">
            <w:pPr>
              <w:rPr>
                <w:b/>
              </w:rPr>
            </w:pPr>
            <w:r w:rsidRPr="00F027AA">
              <w:rPr>
                <w:b/>
              </w:rPr>
              <w:t xml:space="preserve">Effective Useful Life (years): </w:t>
            </w:r>
          </w:p>
        </w:tc>
        <w:tc>
          <w:tcPr>
            <w:tcW w:w="5487" w:type="dxa"/>
            <w:shd w:val="clear" w:color="auto" w:fill="FFFFFF" w:themeFill="background1"/>
          </w:tcPr>
          <w:p w14:paraId="4AD31819" w14:textId="5825F81C" w:rsidR="00735CF0" w:rsidRPr="005F3DA0" w:rsidRDefault="005F3DA0" w:rsidP="0037707D">
            <w:pPr>
              <w:rPr>
                <w:bCs/>
                <w:sz w:val="20"/>
                <w:szCs w:val="20"/>
              </w:rPr>
            </w:pPr>
            <w:r w:rsidRPr="005F3DA0">
              <w:rPr>
                <w:sz w:val="20"/>
                <w:szCs w:val="20"/>
              </w:rPr>
              <w:t>12 years, ILtg-Com-LED-50000hr</w:t>
            </w:r>
          </w:p>
          <w:p w14:paraId="1F505C76" w14:textId="7F9A9291" w:rsidR="00735CF0" w:rsidRPr="005F3DA0" w:rsidRDefault="00735CF0" w:rsidP="005F3DA0">
            <w:pPr>
              <w:rPr>
                <w:bCs/>
                <w:sz w:val="20"/>
                <w:szCs w:val="20"/>
              </w:rPr>
            </w:pPr>
            <w:r w:rsidRPr="005F3DA0">
              <w:rPr>
                <w:bCs/>
                <w:sz w:val="20"/>
                <w:szCs w:val="20"/>
              </w:rPr>
              <w:t>Source: DEER</w:t>
            </w:r>
            <w:r w:rsidR="006144FB">
              <w:rPr>
                <w:bCs/>
                <w:sz w:val="20"/>
                <w:szCs w:val="20"/>
              </w:rPr>
              <w:t xml:space="preserve"> 2014</w:t>
            </w:r>
          </w:p>
        </w:tc>
      </w:tr>
      <w:tr w:rsidR="00735CF0" w:rsidRPr="00783DAC" w14:paraId="31B6E232" w14:textId="77777777" w:rsidTr="00B957F5">
        <w:trPr>
          <w:trHeight w:val="465"/>
        </w:trPr>
        <w:tc>
          <w:tcPr>
            <w:tcW w:w="4161" w:type="dxa"/>
            <w:shd w:val="clear" w:color="auto" w:fill="FFFFFF" w:themeFill="background1"/>
          </w:tcPr>
          <w:p w14:paraId="0A120556" w14:textId="77777777" w:rsidR="00735CF0" w:rsidRPr="00F027AA" w:rsidRDefault="00735CF0" w:rsidP="0028709C">
            <w:pPr>
              <w:rPr>
                <w:b/>
              </w:rPr>
            </w:pPr>
            <w:r w:rsidRPr="00F027AA">
              <w:rPr>
                <w:b/>
              </w:rPr>
              <w:t>Program Type:</w:t>
            </w:r>
          </w:p>
        </w:tc>
        <w:tc>
          <w:tcPr>
            <w:tcW w:w="5487" w:type="dxa"/>
            <w:shd w:val="clear" w:color="auto" w:fill="FFFFFF" w:themeFill="background1"/>
          </w:tcPr>
          <w:p w14:paraId="70636F6F" w14:textId="7A5AA5EA" w:rsidR="00735CF0" w:rsidRPr="005F3DA0" w:rsidRDefault="00735CF0" w:rsidP="0028709C">
            <w:pPr>
              <w:rPr>
                <w:bCs/>
                <w:sz w:val="20"/>
                <w:szCs w:val="20"/>
              </w:rPr>
            </w:pPr>
            <w:r w:rsidRPr="005F3DA0">
              <w:rPr>
                <w:bCs/>
                <w:sz w:val="20"/>
                <w:szCs w:val="20"/>
              </w:rPr>
              <w:t>ROB/NC</w:t>
            </w:r>
          </w:p>
        </w:tc>
      </w:tr>
      <w:tr w:rsidR="00735CF0" w:rsidRPr="00783DAC" w14:paraId="450F55EA" w14:textId="77777777" w:rsidTr="00B957F5">
        <w:trPr>
          <w:trHeight w:val="612"/>
        </w:trPr>
        <w:tc>
          <w:tcPr>
            <w:tcW w:w="4161" w:type="dxa"/>
            <w:shd w:val="clear" w:color="auto" w:fill="FFFFFF" w:themeFill="background1"/>
          </w:tcPr>
          <w:p w14:paraId="50106F28" w14:textId="77777777" w:rsidR="00735CF0" w:rsidRPr="00F027AA" w:rsidRDefault="00735CF0" w:rsidP="0028709C">
            <w:pPr>
              <w:rPr>
                <w:b/>
              </w:rPr>
            </w:pPr>
            <w:r w:rsidRPr="00F027AA">
              <w:rPr>
                <w:b/>
              </w:rPr>
              <w:t xml:space="preserve">Net-to-Gross Ratios: </w:t>
            </w:r>
          </w:p>
        </w:tc>
        <w:tc>
          <w:tcPr>
            <w:tcW w:w="5487" w:type="dxa"/>
            <w:shd w:val="clear" w:color="auto" w:fill="FFFFFF" w:themeFill="background1"/>
          </w:tcPr>
          <w:p w14:paraId="218526F4" w14:textId="6108B46E" w:rsidR="00735CF0" w:rsidRDefault="00735CF0" w:rsidP="004464AA">
            <w:pPr>
              <w:rPr>
                <w:bCs/>
                <w:sz w:val="20"/>
                <w:szCs w:val="20"/>
              </w:rPr>
            </w:pPr>
            <w:r w:rsidRPr="005F3DA0">
              <w:rPr>
                <w:bCs/>
                <w:sz w:val="20"/>
                <w:szCs w:val="20"/>
              </w:rPr>
              <w:t xml:space="preserve">NTG= </w:t>
            </w:r>
            <w:r w:rsidR="005F3DA0" w:rsidRPr="005F3DA0">
              <w:rPr>
                <w:bCs/>
                <w:sz w:val="20"/>
                <w:szCs w:val="20"/>
              </w:rPr>
              <w:t>0.6, Com-Default&gt;2yrs</w:t>
            </w:r>
          </w:p>
          <w:p w14:paraId="25FEBE4A" w14:textId="3406D546" w:rsidR="00B957F5" w:rsidRPr="005F3DA0" w:rsidRDefault="00B957F5" w:rsidP="004464AA">
            <w:pPr>
              <w:rPr>
                <w:bCs/>
                <w:sz w:val="20"/>
                <w:szCs w:val="20"/>
              </w:rPr>
            </w:pPr>
            <w:r>
              <w:rPr>
                <w:bCs/>
                <w:sz w:val="20"/>
                <w:szCs w:val="20"/>
              </w:rPr>
              <w:t>NTG= approx. 0.91 (To be provided by CPUC as per discussion on 4/5/2018)</w:t>
            </w:r>
          </w:p>
          <w:p w14:paraId="0C3414D1" w14:textId="29E34008" w:rsidR="00735CF0" w:rsidRPr="005F3DA0" w:rsidRDefault="00735CF0" w:rsidP="004464AA">
            <w:pPr>
              <w:rPr>
                <w:bCs/>
                <w:sz w:val="20"/>
                <w:szCs w:val="20"/>
              </w:rPr>
            </w:pPr>
            <w:r w:rsidRPr="005F3DA0">
              <w:rPr>
                <w:bCs/>
                <w:sz w:val="20"/>
                <w:szCs w:val="20"/>
              </w:rPr>
              <w:t xml:space="preserve">Source: </w:t>
            </w:r>
            <w:r w:rsidR="00DF6547" w:rsidRPr="005F3DA0">
              <w:rPr>
                <w:bCs/>
                <w:sz w:val="20"/>
                <w:szCs w:val="20"/>
              </w:rPr>
              <w:t>DEER 201</w:t>
            </w:r>
            <w:r w:rsidR="006144FB">
              <w:rPr>
                <w:bCs/>
                <w:sz w:val="20"/>
                <w:szCs w:val="20"/>
              </w:rPr>
              <w:t>4</w:t>
            </w:r>
          </w:p>
        </w:tc>
      </w:tr>
      <w:tr w:rsidR="00735CF0" w:rsidRPr="00783DAC" w14:paraId="1B7F747A" w14:textId="77777777" w:rsidTr="00B957F5">
        <w:trPr>
          <w:trHeight w:val="465"/>
        </w:trPr>
        <w:tc>
          <w:tcPr>
            <w:tcW w:w="4161" w:type="dxa"/>
            <w:shd w:val="clear" w:color="auto" w:fill="FFFFFF" w:themeFill="background1"/>
          </w:tcPr>
          <w:p w14:paraId="785FD07D" w14:textId="77777777" w:rsidR="00735CF0" w:rsidRPr="00783DAC" w:rsidRDefault="00735CF0" w:rsidP="0028709C">
            <w:pPr>
              <w:rPr>
                <w:b/>
              </w:rPr>
            </w:pPr>
            <w:r w:rsidRPr="00783DAC">
              <w:rPr>
                <w:b/>
              </w:rPr>
              <w:t>Important Comments:</w:t>
            </w:r>
          </w:p>
        </w:tc>
        <w:tc>
          <w:tcPr>
            <w:tcW w:w="5487" w:type="dxa"/>
            <w:shd w:val="clear" w:color="auto" w:fill="FFFFFF" w:themeFill="background1"/>
          </w:tcPr>
          <w:p w14:paraId="0ECE4D7D" w14:textId="24A7AAA0" w:rsidR="00735CF0" w:rsidRPr="00B93DB5" w:rsidRDefault="00190AEF" w:rsidP="0028709C">
            <w:pPr>
              <w:rPr>
                <w:bCs/>
                <w:sz w:val="20"/>
                <w:szCs w:val="20"/>
              </w:rPr>
            </w:pPr>
            <w:r>
              <w:rPr>
                <w:bCs/>
                <w:sz w:val="20"/>
                <w:szCs w:val="20"/>
              </w:rPr>
              <w:t xml:space="preserve">Revision 3 is a resubmittal and an interim solution until the next workpaper revision can address CS comments and the standard practice baseline for high/low bay lighting. </w:t>
            </w:r>
          </w:p>
        </w:tc>
      </w:tr>
    </w:tbl>
    <w:p w14:paraId="03A42B6A" w14:textId="77777777" w:rsidR="005F19E0" w:rsidRPr="005F19E0" w:rsidRDefault="006F0139" w:rsidP="0006490F">
      <w:pPr>
        <w:rPr>
          <w:rFonts w:ascii="Arial" w:hAnsi="Arial" w:cs="Arial"/>
          <w:b/>
          <w:color w:val="FF0000"/>
          <w:sz w:val="20"/>
          <w:szCs w:val="20"/>
        </w:rPr>
        <w:sectPr w:rsidR="005F19E0" w:rsidRPr="005F19E0" w:rsidSect="00081DFB">
          <w:headerReference w:type="default" r:id="rId11"/>
          <w:footerReference w:type="even" r:id="rId12"/>
          <w:footerReference w:type="default" r:id="rId13"/>
          <w:footerReference w:type="first" r:id="rId14"/>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4C2232BC" w14:textId="77777777" w:rsidR="00E71EF1" w:rsidRDefault="00E71EF1" w:rsidP="00E71EF1">
      <w:pPr>
        <w:pStyle w:val="Heading1"/>
      </w:pPr>
      <w:bookmarkStart w:id="5" w:name="_Toc511038022"/>
      <w:bookmarkStart w:id="6" w:name="_Toc511244873"/>
      <w:r>
        <w:lastRenderedPageBreak/>
        <w:t>Document Revision History</w:t>
      </w:r>
      <w:bookmarkEnd w:id="5"/>
      <w:bookmarkEnd w:id="6"/>
    </w:p>
    <w:p w14:paraId="57013D19" w14:textId="77777777"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413"/>
        <w:gridCol w:w="3204"/>
        <w:gridCol w:w="3204"/>
      </w:tblGrid>
      <w:tr w:rsidR="000374A5" w:rsidRPr="00AB1CB6" w14:paraId="50B47039" w14:textId="77777777" w:rsidTr="1AA8F051">
        <w:trPr>
          <w:trHeight w:val="464"/>
        </w:trPr>
        <w:tc>
          <w:tcPr>
            <w:tcW w:w="870" w:type="pct"/>
            <w:shd w:val="clear" w:color="auto" w:fill="BFBFBF" w:themeFill="background1" w:themeFillShade="BF"/>
          </w:tcPr>
          <w:p w14:paraId="6591CA03" w14:textId="77777777" w:rsidR="000374A5" w:rsidRPr="00AB1CB6" w:rsidRDefault="000374A5" w:rsidP="00AB1CB6">
            <w:pPr>
              <w:rPr>
                <w:rFonts w:ascii="Arial" w:hAnsi="Arial" w:cs="Arial"/>
                <w:b/>
                <w:bCs/>
                <w:sz w:val="20"/>
                <w:szCs w:val="20"/>
              </w:rPr>
            </w:pPr>
            <w:r w:rsidRPr="00AB1CB6">
              <w:rPr>
                <w:rFonts w:ascii="Arial" w:hAnsi="Arial" w:cs="Arial"/>
                <w:b/>
                <w:sz w:val="20"/>
                <w:szCs w:val="20"/>
              </w:rPr>
              <w:t>Revision #</w:t>
            </w:r>
            <w:r w:rsidRPr="00AB1CB6">
              <w:rPr>
                <w:rFonts w:ascii="Arial" w:hAnsi="Arial" w:cs="Arial"/>
                <w:b/>
                <w:sz w:val="20"/>
                <w:szCs w:val="20"/>
              </w:rPr>
              <w:tab/>
            </w:r>
          </w:p>
        </w:tc>
        <w:tc>
          <w:tcPr>
            <w:tcW w:w="746" w:type="pct"/>
            <w:shd w:val="clear" w:color="auto" w:fill="BFBFBF" w:themeFill="background1" w:themeFillShade="BF"/>
          </w:tcPr>
          <w:p w14:paraId="24FFBE71" w14:textId="77777777" w:rsidR="000374A5" w:rsidRPr="00AB1CB6" w:rsidRDefault="000374A5" w:rsidP="00AB1CB6">
            <w:pPr>
              <w:rPr>
                <w:rFonts w:ascii="Arial" w:hAnsi="Arial" w:cs="Arial"/>
                <w:b/>
                <w:bCs/>
                <w:sz w:val="20"/>
                <w:szCs w:val="20"/>
              </w:rPr>
            </w:pPr>
            <w:r w:rsidRPr="00AB1CB6">
              <w:rPr>
                <w:rFonts w:ascii="Arial" w:hAnsi="Arial" w:cs="Arial"/>
                <w:b/>
                <w:sz w:val="20"/>
                <w:szCs w:val="20"/>
              </w:rPr>
              <w:t xml:space="preserve">Date </w:t>
            </w:r>
            <w:r w:rsidRPr="00AB1CB6">
              <w:rPr>
                <w:rFonts w:ascii="Arial" w:hAnsi="Arial" w:cs="Arial"/>
                <w:b/>
                <w:sz w:val="20"/>
                <w:szCs w:val="20"/>
              </w:rPr>
              <w:tab/>
            </w:r>
          </w:p>
        </w:tc>
        <w:tc>
          <w:tcPr>
            <w:tcW w:w="1692" w:type="pct"/>
            <w:shd w:val="clear" w:color="auto" w:fill="BFBFBF" w:themeFill="background1" w:themeFillShade="BF"/>
          </w:tcPr>
          <w:p w14:paraId="0239B75E" w14:textId="77777777" w:rsidR="000374A5" w:rsidRPr="00AB1CB6" w:rsidRDefault="000374A5" w:rsidP="00AB1CB6">
            <w:pPr>
              <w:rPr>
                <w:rFonts w:ascii="Arial" w:hAnsi="Arial" w:cs="Arial"/>
                <w:b/>
                <w:bCs/>
                <w:sz w:val="20"/>
                <w:szCs w:val="20"/>
              </w:rPr>
            </w:pPr>
            <w:r w:rsidRPr="00AB1CB6">
              <w:rPr>
                <w:rFonts w:ascii="Arial" w:hAnsi="Arial" w:cs="Arial"/>
                <w:b/>
                <w:sz w:val="20"/>
                <w:szCs w:val="20"/>
              </w:rPr>
              <w:t>Section by Section Description of Revisions</w:t>
            </w:r>
          </w:p>
        </w:tc>
        <w:tc>
          <w:tcPr>
            <w:tcW w:w="1692" w:type="pct"/>
            <w:shd w:val="clear" w:color="auto" w:fill="BFBFBF" w:themeFill="background1" w:themeFillShade="BF"/>
          </w:tcPr>
          <w:p w14:paraId="7B3C3B1B" w14:textId="77777777" w:rsidR="000374A5" w:rsidRPr="00AB1CB6" w:rsidRDefault="000374A5" w:rsidP="00AB1CB6">
            <w:pPr>
              <w:rPr>
                <w:rFonts w:ascii="Arial" w:hAnsi="Arial" w:cs="Arial"/>
                <w:b/>
                <w:bCs/>
                <w:sz w:val="20"/>
                <w:szCs w:val="20"/>
              </w:rPr>
            </w:pPr>
            <w:r w:rsidRPr="00AB1CB6">
              <w:rPr>
                <w:rFonts w:ascii="Arial" w:hAnsi="Arial" w:cs="Arial"/>
                <w:b/>
                <w:sz w:val="20"/>
                <w:szCs w:val="20"/>
              </w:rPr>
              <w:t>Author (Company)</w:t>
            </w:r>
          </w:p>
        </w:tc>
      </w:tr>
      <w:tr w:rsidR="0068419D" w:rsidRPr="00AB1CB6" w14:paraId="08455C26" w14:textId="77777777" w:rsidTr="006144FB">
        <w:trPr>
          <w:trHeight w:val="464"/>
        </w:trPr>
        <w:tc>
          <w:tcPr>
            <w:tcW w:w="870" w:type="pct"/>
            <w:shd w:val="clear" w:color="auto" w:fill="auto"/>
          </w:tcPr>
          <w:p w14:paraId="35421D63" w14:textId="77777777" w:rsidR="0068419D" w:rsidRPr="00AB1CB6" w:rsidRDefault="0068419D" w:rsidP="008948E0">
            <w:pPr>
              <w:rPr>
                <w:rFonts w:ascii="Arial" w:hAnsi="Arial" w:cs="Arial"/>
                <w:bCs/>
                <w:sz w:val="20"/>
                <w:szCs w:val="20"/>
              </w:rPr>
            </w:pPr>
            <w:r w:rsidRPr="00AB1CB6">
              <w:rPr>
                <w:rFonts w:ascii="Arial" w:hAnsi="Arial" w:cs="Arial"/>
                <w:bCs/>
                <w:sz w:val="20"/>
                <w:szCs w:val="20"/>
              </w:rPr>
              <w:t>Revision 0</w:t>
            </w:r>
          </w:p>
        </w:tc>
        <w:tc>
          <w:tcPr>
            <w:tcW w:w="746" w:type="pct"/>
            <w:shd w:val="clear" w:color="auto" w:fill="auto"/>
          </w:tcPr>
          <w:p w14:paraId="446E4145" w14:textId="77777777" w:rsidR="0068419D" w:rsidRPr="00AB1CB6" w:rsidRDefault="00531AF8" w:rsidP="00946A66">
            <w:pPr>
              <w:rPr>
                <w:rFonts w:ascii="Arial" w:hAnsi="Arial" w:cs="Arial"/>
                <w:bCs/>
                <w:sz w:val="20"/>
                <w:szCs w:val="20"/>
              </w:rPr>
            </w:pPr>
            <w:r w:rsidRPr="00AB1CB6">
              <w:rPr>
                <w:rFonts w:ascii="Arial" w:hAnsi="Arial" w:cs="Arial"/>
                <w:bCs/>
                <w:sz w:val="20"/>
                <w:szCs w:val="20"/>
              </w:rPr>
              <w:t>11/4/2013</w:t>
            </w:r>
          </w:p>
        </w:tc>
        <w:tc>
          <w:tcPr>
            <w:tcW w:w="1692" w:type="pct"/>
            <w:shd w:val="clear" w:color="auto" w:fill="auto"/>
          </w:tcPr>
          <w:p w14:paraId="54CAD9E5" w14:textId="77777777" w:rsidR="0068419D" w:rsidRPr="00AB1CB6" w:rsidRDefault="00DB2CE5" w:rsidP="00DF163F">
            <w:pPr>
              <w:rPr>
                <w:rFonts w:ascii="Arial" w:hAnsi="Arial" w:cs="Arial"/>
                <w:sz w:val="20"/>
                <w:szCs w:val="20"/>
              </w:rPr>
            </w:pPr>
            <w:r w:rsidRPr="00AB1CB6">
              <w:rPr>
                <w:rFonts w:ascii="Arial" w:hAnsi="Arial" w:cs="Arial"/>
                <w:b/>
                <w:sz w:val="20"/>
                <w:szCs w:val="20"/>
              </w:rPr>
              <w:t>PGECOLTG</w:t>
            </w:r>
            <w:r w:rsidR="009D01D1" w:rsidRPr="00AB1CB6">
              <w:rPr>
                <w:rFonts w:ascii="Arial" w:hAnsi="Arial" w:cs="Arial"/>
                <w:b/>
                <w:sz w:val="20"/>
                <w:szCs w:val="20"/>
              </w:rPr>
              <w:t>178</w:t>
            </w:r>
            <w:r w:rsidR="0068419D" w:rsidRPr="00AB1CB6">
              <w:rPr>
                <w:rFonts w:ascii="Arial" w:hAnsi="Arial" w:cs="Arial"/>
                <w:b/>
                <w:sz w:val="20"/>
                <w:szCs w:val="20"/>
              </w:rPr>
              <w:t xml:space="preserve"> R0</w:t>
            </w:r>
            <w:r w:rsidR="0068419D" w:rsidRPr="00AB1CB6">
              <w:rPr>
                <w:rFonts w:ascii="Arial" w:hAnsi="Arial" w:cs="Arial"/>
                <w:sz w:val="20"/>
                <w:szCs w:val="20"/>
              </w:rPr>
              <w:t xml:space="preserve"> LED</w:t>
            </w:r>
            <w:r w:rsidR="00946A66" w:rsidRPr="00AB1CB6">
              <w:rPr>
                <w:rFonts w:ascii="Arial" w:hAnsi="Arial" w:cs="Arial"/>
                <w:sz w:val="20"/>
                <w:szCs w:val="20"/>
              </w:rPr>
              <w:t xml:space="preserve"> </w:t>
            </w:r>
            <w:r w:rsidR="00531AF8" w:rsidRPr="00AB1CB6">
              <w:rPr>
                <w:rFonts w:ascii="Arial" w:hAnsi="Arial" w:cs="Arial"/>
                <w:sz w:val="20"/>
                <w:szCs w:val="20"/>
              </w:rPr>
              <w:t>High-Bay and Low-Bay Fixtures</w:t>
            </w:r>
            <w:r w:rsidR="0068419D" w:rsidRPr="00AB1CB6">
              <w:rPr>
                <w:rFonts w:ascii="Arial" w:hAnsi="Arial" w:cs="Arial"/>
                <w:sz w:val="20"/>
                <w:szCs w:val="20"/>
              </w:rPr>
              <w:t>.doc</w:t>
            </w:r>
          </w:p>
          <w:p w14:paraId="0515FA44" w14:textId="77777777" w:rsidR="0068419D" w:rsidRPr="00AB1CB6" w:rsidRDefault="00D3706F" w:rsidP="00DF163F">
            <w:pPr>
              <w:rPr>
                <w:rFonts w:ascii="Arial" w:hAnsi="Arial" w:cs="Arial"/>
                <w:sz w:val="20"/>
                <w:szCs w:val="20"/>
              </w:rPr>
            </w:pPr>
            <w:r w:rsidRPr="00AB1CB6">
              <w:rPr>
                <w:rFonts w:ascii="Arial" w:hAnsi="Arial" w:cs="Arial"/>
                <w:sz w:val="20"/>
                <w:szCs w:val="20"/>
              </w:rPr>
              <w:t>Original Workpaper</w:t>
            </w:r>
          </w:p>
        </w:tc>
        <w:tc>
          <w:tcPr>
            <w:tcW w:w="1692" w:type="pct"/>
            <w:shd w:val="clear" w:color="auto" w:fill="auto"/>
          </w:tcPr>
          <w:p w14:paraId="372EAE89" w14:textId="77777777" w:rsidR="00032F1B" w:rsidRPr="00AB1CB6" w:rsidRDefault="00032F1B" w:rsidP="008948E0">
            <w:pPr>
              <w:rPr>
                <w:rFonts w:ascii="Arial" w:hAnsi="Arial" w:cs="Arial"/>
                <w:bCs/>
                <w:sz w:val="20"/>
                <w:szCs w:val="20"/>
              </w:rPr>
            </w:pPr>
            <w:r w:rsidRPr="00AB1CB6">
              <w:rPr>
                <w:rFonts w:ascii="Arial" w:hAnsi="Arial" w:cs="Arial"/>
                <w:bCs/>
                <w:sz w:val="20"/>
                <w:szCs w:val="20"/>
              </w:rPr>
              <w:t>Author: Greg Barker (Energy Solutions)</w:t>
            </w:r>
          </w:p>
          <w:p w14:paraId="14EAA194" w14:textId="77777777" w:rsidR="0068419D" w:rsidRPr="00AB1CB6" w:rsidRDefault="00032F1B" w:rsidP="008948E0">
            <w:pPr>
              <w:rPr>
                <w:rFonts w:ascii="Arial" w:hAnsi="Arial" w:cs="Arial"/>
                <w:bCs/>
                <w:sz w:val="20"/>
                <w:szCs w:val="20"/>
              </w:rPr>
            </w:pPr>
            <w:r w:rsidRPr="00AB1CB6">
              <w:rPr>
                <w:rFonts w:ascii="Arial" w:hAnsi="Arial" w:cs="Arial"/>
                <w:bCs/>
                <w:sz w:val="20"/>
                <w:szCs w:val="20"/>
              </w:rPr>
              <w:t xml:space="preserve">Reviewer: </w:t>
            </w:r>
            <w:r w:rsidR="0068419D" w:rsidRPr="00AB1CB6">
              <w:rPr>
                <w:rFonts w:ascii="Arial" w:hAnsi="Arial" w:cs="Arial"/>
                <w:bCs/>
                <w:sz w:val="20"/>
                <w:szCs w:val="20"/>
              </w:rPr>
              <w:t xml:space="preserve">Alina Zohrabian (PG&amp;E) </w:t>
            </w:r>
          </w:p>
        </w:tc>
      </w:tr>
      <w:tr w:rsidR="0000411D" w:rsidRPr="00AB1CB6" w14:paraId="40D46430" w14:textId="77777777" w:rsidTr="006144FB">
        <w:trPr>
          <w:trHeight w:val="464"/>
        </w:trPr>
        <w:tc>
          <w:tcPr>
            <w:tcW w:w="870" w:type="pct"/>
            <w:shd w:val="clear" w:color="auto" w:fill="auto"/>
          </w:tcPr>
          <w:p w14:paraId="67ECC5D0" w14:textId="77777777" w:rsidR="0000411D" w:rsidRPr="00AB1CB6" w:rsidRDefault="0000411D" w:rsidP="005C7190">
            <w:pPr>
              <w:rPr>
                <w:rFonts w:ascii="Arial" w:hAnsi="Arial" w:cs="Arial"/>
                <w:bCs/>
                <w:sz w:val="20"/>
                <w:szCs w:val="20"/>
              </w:rPr>
            </w:pPr>
            <w:r w:rsidRPr="00AB1CB6">
              <w:rPr>
                <w:rFonts w:ascii="Arial" w:hAnsi="Arial" w:cs="Arial"/>
                <w:bCs/>
                <w:sz w:val="20"/>
                <w:szCs w:val="20"/>
              </w:rPr>
              <w:t>Revision 1</w:t>
            </w:r>
          </w:p>
        </w:tc>
        <w:tc>
          <w:tcPr>
            <w:tcW w:w="746" w:type="pct"/>
            <w:shd w:val="clear" w:color="auto" w:fill="auto"/>
          </w:tcPr>
          <w:p w14:paraId="016DBC9E" w14:textId="77777777" w:rsidR="0000411D" w:rsidRPr="00AB1CB6" w:rsidRDefault="0000411D" w:rsidP="005C7190">
            <w:pPr>
              <w:rPr>
                <w:rFonts w:ascii="Arial" w:hAnsi="Arial" w:cs="Arial"/>
                <w:bCs/>
                <w:sz w:val="20"/>
                <w:szCs w:val="20"/>
              </w:rPr>
            </w:pPr>
            <w:r w:rsidRPr="00AB1CB6">
              <w:rPr>
                <w:rFonts w:ascii="Arial" w:hAnsi="Arial" w:cs="Arial"/>
                <w:bCs/>
                <w:sz w:val="20"/>
                <w:szCs w:val="20"/>
              </w:rPr>
              <w:t>5/27/14</w:t>
            </w:r>
          </w:p>
        </w:tc>
        <w:tc>
          <w:tcPr>
            <w:tcW w:w="1692" w:type="pct"/>
            <w:shd w:val="clear" w:color="auto" w:fill="auto"/>
          </w:tcPr>
          <w:p w14:paraId="69E9BD22" w14:textId="77777777" w:rsidR="0000411D" w:rsidRPr="00AB1CB6" w:rsidRDefault="0000411D" w:rsidP="005C7190">
            <w:pPr>
              <w:rPr>
                <w:rFonts w:ascii="Arial" w:hAnsi="Arial" w:cs="Arial"/>
                <w:sz w:val="20"/>
                <w:szCs w:val="20"/>
              </w:rPr>
            </w:pPr>
            <w:r w:rsidRPr="00AB1CB6">
              <w:rPr>
                <w:rFonts w:ascii="Arial" w:hAnsi="Arial" w:cs="Arial"/>
                <w:b/>
                <w:sz w:val="20"/>
                <w:szCs w:val="20"/>
              </w:rPr>
              <w:t xml:space="preserve">PGECOLTG178 R1 </w:t>
            </w:r>
            <w:r w:rsidRPr="00AB1CB6">
              <w:rPr>
                <w:rFonts w:ascii="Arial" w:hAnsi="Arial" w:cs="Arial"/>
                <w:sz w:val="20"/>
                <w:szCs w:val="20"/>
              </w:rPr>
              <w:t>LED High-Bay and Low-Bay Fixtures.doc</w:t>
            </w:r>
          </w:p>
          <w:p w14:paraId="4709A2FC" w14:textId="77777777" w:rsidR="0000411D" w:rsidRPr="00AB1CB6" w:rsidRDefault="0000411D" w:rsidP="0000411D">
            <w:pPr>
              <w:rPr>
                <w:rFonts w:ascii="Arial" w:hAnsi="Arial" w:cs="Arial"/>
                <w:sz w:val="20"/>
                <w:szCs w:val="20"/>
              </w:rPr>
            </w:pPr>
            <w:r w:rsidRPr="00AB1CB6">
              <w:rPr>
                <w:rFonts w:ascii="Arial" w:hAnsi="Arial" w:cs="Arial"/>
                <w:bCs/>
                <w:sz w:val="20"/>
                <w:szCs w:val="20"/>
              </w:rPr>
              <w:t>Added DI values from (PGE3PLTG192-R0) and Applied new hours of operation and IE factors. For updated savings values, see file PGECOLTG178 R1.xlsx</w:t>
            </w:r>
          </w:p>
        </w:tc>
        <w:tc>
          <w:tcPr>
            <w:tcW w:w="1692" w:type="pct"/>
            <w:shd w:val="clear" w:color="auto" w:fill="auto"/>
          </w:tcPr>
          <w:p w14:paraId="57BE767C" w14:textId="77777777" w:rsidR="0000411D" w:rsidRPr="00AB1CB6" w:rsidRDefault="0000411D" w:rsidP="005C7190">
            <w:pPr>
              <w:rPr>
                <w:rFonts w:ascii="Arial" w:hAnsi="Arial" w:cs="Arial"/>
                <w:bCs/>
                <w:sz w:val="20"/>
                <w:szCs w:val="20"/>
              </w:rPr>
            </w:pPr>
            <w:r w:rsidRPr="00AB1CB6">
              <w:rPr>
                <w:rFonts w:ascii="Arial" w:hAnsi="Arial" w:cs="Arial"/>
                <w:bCs/>
                <w:sz w:val="20"/>
                <w:szCs w:val="20"/>
              </w:rPr>
              <w:t xml:space="preserve">Alina Zohrabian (PG&amp;E) </w:t>
            </w:r>
          </w:p>
        </w:tc>
      </w:tr>
      <w:tr w:rsidR="00081DFB" w:rsidRPr="00AB1CB6" w14:paraId="082C6FE6" w14:textId="77777777" w:rsidTr="006144FB">
        <w:trPr>
          <w:trHeight w:val="464"/>
        </w:trPr>
        <w:tc>
          <w:tcPr>
            <w:tcW w:w="870" w:type="pct"/>
            <w:shd w:val="clear" w:color="auto" w:fill="auto"/>
          </w:tcPr>
          <w:p w14:paraId="2F1469EB" w14:textId="77777777" w:rsidR="00081DFB" w:rsidRPr="00AB1CB6" w:rsidRDefault="00081DFB" w:rsidP="005C7190">
            <w:pPr>
              <w:rPr>
                <w:rFonts w:ascii="Arial" w:hAnsi="Arial" w:cs="Arial"/>
                <w:bCs/>
                <w:sz w:val="20"/>
                <w:szCs w:val="20"/>
              </w:rPr>
            </w:pPr>
            <w:r w:rsidRPr="00AB1CB6">
              <w:rPr>
                <w:rFonts w:ascii="Arial" w:hAnsi="Arial" w:cs="Arial"/>
                <w:bCs/>
                <w:sz w:val="20"/>
                <w:szCs w:val="20"/>
              </w:rPr>
              <w:t>Revision 2</w:t>
            </w:r>
          </w:p>
        </w:tc>
        <w:tc>
          <w:tcPr>
            <w:tcW w:w="746" w:type="pct"/>
            <w:shd w:val="clear" w:color="auto" w:fill="auto"/>
          </w:tcPr>
          <w:p w14:paraId="3D30261A" w14:textId="77777777" w:rsidR="00081DFB" w:rsidRPr="00AB1CB6" w:rsidRDefault="00081DFB" w:rsidP="005C7190">
            <w:pPr>
              <w:rPr>
                <w:rFonts w:ascii="Arial" w:hAnsi="Arial" w:cs="Arial"/>
                <w:bCs/>
                <w:sz w:val="20"/>
                <w:szCs w:val="20"/>
              </w:rPr>
            </w:pPr>
            <w:r w:rsidRPr="00AB1CB6">
              <w:rPr>
                <w:rFonts w:ascii="Arial" w:hAnsi="Arial" w:cs="Arial"/>
                <w:bCs/>
                <w:sz w:val="20"/>
                <w:szCs w:val="20"/>
              </w:rPr>
              <w:t>1/1/2016</w:t>
            </w:r>
          </w:p>
        </w:tc>
        <w:tc>
          <w:tcPr>
            <w:tcW w:w="1692" w:type="pct"/>
            <w:shd w:val="clear" w:color="auto" w:fill="auto"/>
          </w:tcPr>
          <w:p w14:paraId="5BDC0CC7" w14:textId="5B917E6D" w:rsidR="00246884" w:rsidRPr="00AB1CB6" w:rsidRDefault="00246884" w:rsidP="005C7190">
            <w:pPr>
              <w:rPr>
                <w:rFonts w:ascii="Arial" w:hAnsi="Arial" w:cs="Arial"/>
                <w:sz w:val="20"/>
                <w:szCs w:val="20"/>
              </w:rPr>
            </w:pPr>
            <w:r w:rsidRPr="00AB1CB6">
              <w:rPr>
                <w:rFonts w:ascii="Arial" w:hAnsi="Arial" w:cs="Arial"/>
                <w:sz w:val="20"/>
                <w:szCs w:val="20"/>
              </w:rPr>
              <w:t>NC was added.</w:t>
            </w:r>
          </w:p>
          <w:p w14:paraId="23E31F36" w14:textId="77777777" w:rsidR="00081DFB" w:rsidRPr="00AB1CB6" w:rsidRDefault="00081DFB" w:rsidP="005C7190">
            <w:pPr>
              <w:rPr>
                <w:rFonts w:ascii="Arial" w:hAnsi="Arial" w:cs="Arial"/>
                <w:sz w:val="20"/>
                <w:szCs w:val="20"/>
              </w:rPr>
            </w:pPr>
            <w:r w:rsidRPr="00AB1CB6">
              <w:rPr>
                <w:rFonts w:ascii="Arial" w:hAnsi="Arial" w:cs="Arial"/>
                <w:sz w:val="20"/>
                <w:szCs w:val="20"/>
              </w:rPr>
              <w:t>Updated NTG, EUL,</w:t>
            </w:r>
            <w:r w:rsidR="00A95A8F" w:rsidRPr="00AB1CB6">
              <w:rPr>
                <w:rFonts w:ascii="Arial" w:hAnsi="Arial" w:cs="Arial"/>
                <w:sz w:val="20"/>
                <w:szCs w:val="20"/>
              </w:rPr>
              <w:t xml:space="preserve"> IE, CDF, </w:t>
            </w:r>
            <w:r w:rsidRPr="00AB1CB6">
              <w:rPr>
                <w:rFonts w:ascii="Arial" w:hAnsi="Arial" w:cs="Arial"/>
                <w:sz w:val="20"/>
                <w:szCs w:val="20"/>
              </w:rPr>
              <w:t>GSIA, and hours of operation per DEER2016.  Base case and measure costs have also been updated.</w:t>
            </w:r>
          </w:p>
        </w:tc>
        <w:tc>
          <w:tcPr>
            <w:tcW w:w="1692" w:type="pct"/>
            <w:shd w:val="clear" w:color="auto" w:fill="auto"/>
          </w:tcPr>
          <w:p w14:paraId="5B312A31" w14:textId="77777777" w:rsidR="00081DFB" w:rsidRPr="00AB1CB6" w:rsidRDefault="00081DFB" w:rsidP="005C7190">
            <w:pPr>
              <w:rPr>
                <w:rFonts w:ascii="Arial" w:hAnsi="Arial" w:cs="Arial"/>
                <w:bCs/>
                <w:sz w:val="20"/>
                <w:szCs w:val="20"/>
              </w:rPr>
            </w:pPr>
            <w:r w:rsidRPr="00AB1CB6">
              <w:rPr>
                <w:rFonts w:ascii="Arial" w:hAnsi="Arial" w:cs="Arial"/>
                <w:bCs/>
                <w:sz w:val="20"/>
                <w:szCs w:val="20"/>
              </w:rPr>
              <w:t>Linda Wan (PG&amp;E)/Alina Zohrabian (PG&amp;E)/Tai Voong (PG&amp;E)</w:t>
            </w:r>
            <w:r w:rsidR="00246884" w:rsidRPr="00AB1CB6">
              <w:rPr>
                <w:rFonts w:ascii="Arial" w:hAnsi="Arial" w:cs="Arial"/>
                <w:bCs/>
                <w:sz w:val="20"/>
                <w:szCs w:val="20"/>
              </w:rPr>
              <w:t>/Henry</w:t>
            </w:r>
          </w:p>
        </w:tc>
      </w:tr>
      <w:tr w:rsidR="00825E37" w:rsidRPr="00AB1CB6" w14:paraId="2CEE6283" w14:textId="77777777" w:rsidTr="006144FB">
        <w:trPr>
          <w:trHeight w:val="464"/>
        </w:trPr>
        <w:tc>
          <w:tcPr>
            <w:tcW w:w="870" w:type="pct"/>
            <w:shd w:val="clear" w:color="auto" w:fill="auto"/>
          </w:tcPr>
          <w:p w14:paraId="1E86289A" w14:textId="77777777" w:rsidR="00825E37" w:rsidRDefault="00B56D9D" w:rsidP="005C7190">
            <w:pPr>
              <w:rPr>
                <w:rFonts w:ascii="Arial" w:hAnsi="Arial" w:cs="Arial"/>
                <w:bCs/>
                <w:sz w:val="20"/>
                <w:szCs w:val="20"/>
              </w:rPr>
            </w:pPr>
            <w:r w:rsidRPr="00AB1CB6">
              <w:rPr>
                <w:rFonts w:ascii="Arial" w:hAnsi="Arial" w:cs="Arial"/>
                <w:bCs/>
                <w:sz w:val="20"/>
                <w:szCs w:val="20"/>
              </w:rPr>
              <w:t>Revision 3</w:t>
            </w:r>
          </w:p>
          <w:p w14:paraId="2BCD72B8" w14:textId="7324AFE3" w:rsidR="00825E37" w:rsidRPr="00AB1CB6" w:rsidRDefault="00D4710E" w:rsidP="005C7190">
            <w:pPr>
              <w:rPr>
                <w:rFonts w:ascii="Arial" w:hAnsi="Arial" w:cs="Arial"/>
                <w:bCs/>
                <w:sz w:val="20"/>
                <w:szCs w:val="20"/>
              </w:rPr>
            </w:pPr>
            <w:r>
              <w:rPr>
                <w:rFonts w:ascii="Arial" w:hAnsi="Arial" w:cs="Arial"/>
                <w:bCs/>
                <w:sz w:val="20"/>
                <w:szCs w:val="20"/>
              </w:rPr>
              <w:t>(Not Approved)</w:t>
            </w:r>
          </w:p>
        </w:tc>
        <w:tc>
          <w:tcPr>
            <w:tcW w:w="746" w:type="pct"/>
            <w:shd w:val="clear" w:color="auto" w:fill="auto"/>
          </w:tcPr>
          <w:p w14:paraId="03B6BE1C" w14:textId="6D72A5A5" w:rsidR="00825E37" w:rsidRPr="004B3A7B" w:rsidRDefault="003A6E80" w:rsidP="005C7190">
            <w:pPr>
              <w:rPr>
                <w:rFonts w:ascii="Arial" w:hAnsi="Arial" w:cs="Arial"/>
                <w:sz w:val="20"/>
                <w:szCs w:val="20"/>
              </w:rPr>
            </w:pPr>
            <w:r>
              <w:rPr>
                <w:rFonts w:ascii="Arial" w:hAnsi="Arial" w:cs="Arial"/>
                <w:sz w:val="20"/>
                <w:szCs w:val="20"/>
              </w:rPr>
              <w:t>8/14</w:t>
            </w:r>
            <w:r w:rsidR="00B56D9D" w:rsidRPr="004B3A7B">
              <w:rPr>
                <w:rFonts w:ascii="Arial" w:hAnsi="Arial" w:cs="Arial"/>
                <w:sz w:val="20"/>
                <w:szCs w:val="20"/>
              </w:rPr>
              <w:t>/2017</w:t>
            </w:r>
          </w:p>
        </w:tc>
        <w:tc>
          <w:tcPr>
            <w:tcW w:w="1692" w:type="pct"/>
            <w:shd w:val="clear" w:color="auto" w:fill="auto"/>
          </w:tcPr>
          <w:p w14:paraId="418935FF" w14:textId="5BB6D4B3" w:rsidR="008959EB" w:rsidRDefault="008959EB" w:rsidP="005523E4">
            <w:pPr>
              <w:rPr>
                <w:rFonts w:ascii="Arial" w:hAnsi="Arial" w:cs="Arial"/>
                <w:sz w:val="20"/>
                <w:szCs w:val="20"/>
              </w:rPr>
            </w:pPr>
            <w:r>
              <w:rPr>
                <w:rFonts w:ascii="Arial" w:hAnsi="Arial" w:cs="Arial"/>
                <w:sz w:val="20"/>
                <w:szCs w:val="20"/>
              </w:rPr>
              <w:t>-Retired measures LD101 to LD113</w:t>
            </w:r>
          </w:p>
          <w:p w14:paraId="64ED40BF" w14:textId="77777777" w:rsidR="0012161A" w:rsidRPr="00C57883" w:rsidRDefault="00BB4259" w:rsidP="005523E4">
            <w:pPr>
              <w:rPr>
                <w:rFonts w:ascii="Arial" w:hAnsi="Arial" w:cs="Arial"/>
                <w:sz w:val="20"/>
                <w:szCs w:val="20"/>
              </w:rPr>
            </w:pPr>
            <w:r w:rsidRPr="00C57883">
              <w:rPr>
                <w:rFonts w:ascii="Arial" w:hAnsi="Arial" w:cs="Arial"/>
                <w:sz w:val="20"/>
                <w:szCs w:val="20"/>
              </w:rPr>
              <w:t>-</w:t>
            </w:r>
            <w:r w:rsidR="00B56D9D" w:rsidRPr="00C57883">
              <w:rPr>
                <w:rFonts w:ascii="Arial" w:hAnsi="Arial" w:cs="Arial"/>
                <w:sz w:val="20"/>
                <w:szCs w:val="20"/>
              </w:rPr>
              <w:t>Updated T</w:t>
            </w:r>
            <w:r w:rsidR="00007BED" w:rsidRPr="00C57883">
              <w:rPr>
                <w:rFonts w:ascii="Arial" w:hAnsi="Arial" w:cs="Arial"/>
                <w:sz w:val="20"/>
                <w:szCs w:val="20"/>
              </w:rPr>
              <w:t xml:space="preserve">itle </w:t>
            </w:r>
            <w:r w:rsidR="00B56D9D" w:rsidRPr="00C57883">
              <w:rPr>
                <w:rFonts w:ascii="Arial" w:hAnsi="Arial" w:cs="Arial"/>
                <w:sz w:val="20"/>
                <w:szCs w:val="20"/>
              </w:rPr>
              <w:t>20 Ballast</w:t>
            </w:r>
            <w:r w:rsidRPr="00C57883">
              <w:rPr>
                <w:rFonts w:ascii="Arial" w:hAnsi="Arial" w:cs="Arial"/>
                <w:sz w:val="20"/>
                <w:szCs w:val="20"/>
              </w:rPr>
              <w:t xml:space="preserve"> </w:t>
            </w:r>
            <w:r w:rsidR="005523E4" w:rsidRPr="00C57883">
              <w:rPr>
                <w:rFonts w:ascii="Arial" w:hAnsi="Arial" w:cs="Arial"/>
                <w:sz w:val="20"/>
                <w:szCs w:val="20"/>
              </w:rPr>
              <w:t>Efficiency minimums;</w:t>
            </w:r>
          </w:p>
          <w:p w14:paraId="0BEEA9D6" w14:textId="307328CC" w:rsidR="005A7E55" w:rsidRPr="00C57883" w:rsidRDefault="0012161A" w:rsidP="00A777F4">
            <w:pPr>
              <w:rPr>
                <w:rFonts w:ascii="Arial" w:hAnsi="Arial" w:cs="Arial"/>
                <w:sz w:val="20"/>
                <w:szCs w:val="20"/>
              </w:rPr>
            </w:pPr>
            <w:r w:rsidRPr="00C57883">
              <w:rPr>
                <w:rFonts w:ascii="Arial" w:hAnsi="Arial" w:cs="Arial"/>
                <w:sz w:val="20"/>
                <w:szCs w:val="20"/>
              </w:rPr>
              <w:t xml:space="preserve"> -</w:t>
            </w:r>
            <w:r w:rsidR="0034023F" w:rsidRPr="00C57883">
              <w:rPr>
                <w:rFonts w:ascii="Arial" w:hAnsi="Arial" w:cs="Arial"/>
                <w:sz w:val="20"/>
                <w:szCs w:val="20"/>
              </w:rPr>
              <w:t xml:space="preserve">Created </w:t>
            </w:r>
            <w:r w:rsidR="00AB1CB6" w:rsidRPr="00C57883">
              <w:rPr>
                <w:rFonts w:ascii="Arial" w:hAnsi="Arial" w:cs="Arial"/>
                <w:sz w:val="20"/>
                <w:szCs w:val="20"/>
              </w:rPr>
              <w:t>n</w:t>
            </w:r>
            <w:r w:rsidRPr="00C57883">
              <w:rPr>
                <w:rFonts w:ascii="Arial" w:hAnsi="Arial" w:cs="Arial"/>
                <w:sz w:val="20"/>
                <w:szCs w:val="20"/>
              </w:rPr>
              <w:t>ew</w:t>
            </w:r>
            <w:r w:rsidR="00BD0AF8">
              <w:rPr>
                <w:rFonts w:ascii="Arial" w:hAnsi="Arial" w:cs="Arial"/>
                <w:sz w:val="20"/>
                <w:szCs w:val="20"/>
              </w:rPr>
              <w:t xml:space="preserve"> measure codes </w:t>
            </w:r>
            <w:r w:rsidR="00D656E2">
              <w:rPr>
                <w:rFonts w:ascii="Arial" w:hAnsi="Arial" w:cs="Arial"/>
                <w:sz w:val="20"/>
                <w:szCs w:val="20"/>
              </w:rPr>
              <w:t>LT105</w:t>
            </w:r>
            <w:r w:rsidR="008959EB">
              <w:rPr>
                <w:rFonts w:ascii="Arial" w:hAnsi="Arial" w:cs="Arial"/>
                <w:sz w:val="20"/>
                <w:szCs w:val="20"/>
              </w:rPr>
              <w:t xml:space="preserve"> to LT120</w:t>
            </w:r>
          </w:p>
          <w:p w14:paraId="717FCAF9" w14:textId="77777777" w:rsidR="00825E37" w:rsidRPr="00C57883" w:rsidRDefault="005523E4" w:rsidP="00A777F4">
            <w:pPr>
              <w:rPr>
                <w:rFonts w:ascii="Arial" w:hAnsi="Arial" w:cs="Arial"/>
                <w:sz w:val="20"/>
                <w:szCs w:val="20"/>
              </w:rPr>
            </w:pPr>
            <w:r w:rsidRPr="00C57883">
              <w:rPr>
                <w:rFonts w:ascii="Arial" w:hAnsi="Arial" w:cs="Arial"/>
                <w:sz w:val="20"/>
                <w:szCs w:val="20"/>
              </w:rPr>
              <w:t xml:space="preserve"> </w:t>
            </w:r>
            <w:r w:rsidR="0012161A" w:rsidRPr="00C57883">
              <w:rPr>
                <w:rFonts w:ascii="Arial" w:hAnsi="Arial" w:cs="Arial"/>
                <w:sz w:val="20"/>
                <w:szCs w:val="20"/>
              </w:rPr>
              <w:t>-</w:t>
            </w:r>
            <w:r w:rsidRPr="00C57883">
              <w:rPr>
                <w:rFonts w:ascii="Arial" w:hAnsi="Arial" w:cs="Arial"/>
                <w:sz w:val="20"/>
                <w:szCs w:val="20"/>
              </w:rPr>
              <w:t>Included LED high bay fixtures to replace 100</w:t>
            </w:r>
            <w:r w:rsidR="00A777F4" w:rsidRPr="00C57883">
              <w:rPr>
                <w:rFonts w:ascii="Arial" w:hAnsi="Arial" w:cs="Arial"/>
                <w:sz w:val="20"/>
                <w:szCs w:val="20"/>
              </w:rPr>
              <w:t>W</w:t>
            </w:r>
            <w:r w:rsidRPr="00C57883">
              <w:rPr>
                <w:rFonts w:ascii="Arial" w:hAnsi="Arial" w:cs="Arial"/>
                <w:sz w:val="20"/>
                <w:szCs w:val="20"/>
              </w:rPr>
              <w:t xml:space="preserve"> &amp; 150W MH as well as </w:t>
            </w:r>
            <w:r w:rsidR="00007BED" w:rsidRPr="00C57883">
              <w:rPr>
                <w:rFonts w:ascii="Arial" w:hAnsi="Arial" w:cs="Arial"/>
                <w:sz w:val="20"/>
                <w:szCs w:val="20"/>
              </w:rPr>
              <w:t>2- and 3-lamp fluorescent</w:t>
            </w:r>
            <w:r w:rsidRPr="00C57883">
              <w:rPr>
                <w:rFonts w:ascii="Arial" w:hAnsi="Arial" w:cs="Arial"/>
                <w:sz w:val="20"/>
                <w:szCs w:val="20"/>
              </w:rPr>
              <w:t xml:space="preserve"> fixtures;</w:t>
            </w:r>
            <w:r w:rsidR="00007BED" w:rsidRPr="00C57883">
              <w:rPr>
                <w:rFonts w:ascii="Arial" w:hAnsi="Arial" w:cs="Arial"/>
                <w:sz w:val="20"/>
                <w:szCs w:val="20"/>
              </w:rPr>
              <w:t xml:space="preserve">        </w:t>
            </w:r>
            <w:r w:rsidR="00BB4259" w:rsidRPr="00C57883">
              <w:rPr>
                <w:rFonts w:ascii="Arial" w:hAnsi="Arial" w:cs="Arial"/>
                <w:sz w:val="20"/>
                <w:szCs w:val="20"/>
              </w:rPr>
              <w:t xml:space="preserve">                    </w:t>
            </w:r>
            <w:r w:rsidR="00AB1CB6" w:rsidRPr="00C57883">
              <w:rPr>
                <w:rFonts w:ascii="Arial" w:hAnsi="Arial" w:cs="Arial"/>
                <w:sz w:val="20"/>
                <w:szCs w:val="20"/>
              </w:rPr>
              <w:t xml:space="preserve">           </w:t>
            </w:r>
            <w:r w:rsidR="00BB4259" w:rsidRPr="00C57883">
              <w:rPr>
                <w:rFonts w:ascii="Arial" w:hAnsi="Arial" w:cs="Arial"/>
                <w:sz w:val="20"/>
                <w:szCs w:val="20"/>
              </w:rPr>
              <w:t xml:space="preserve"> - </w:t>
            </w:r>
            <w:r w:rsidR="00D606E9" w:rsidRPr="00C57883">
              <w:rPr>
                <w:rFonts w:ascii="Arial" w:hAnsi="Arial" w:cs="Arial"/>
                <w:sz w:val="20"/>
                <w:szCs w:val="20"/>
              </w:rPr>
              <w:t>U</w:t>
            </w:r>
            <w:r w:rsidR="00B56D9D" w:rsidRPr="00C57883">
              <w:rPr>
                <w:rFonts w:ascii="Arial" w:hAnsi="Arial" w:cs="Arial"/>
                <w:sz w:val="20"/>
                <w:szCs w:val="20"/>
              </w:rPr>
              <w:t>sed</w:t>
            </w:r>
            <w:r w:rsidR="00A777F4" w:rsidRPr="00C57883">
              <w:rPr>
                <w:rFonts w:ascii="Arial" w:hAnsi="Arial" w:cs="Arial"/>
                <w:sz w:val="20"/>
                <w:szCs w:val="20"/>
              </w:rPr>
              <w:t xml:space="preserve"> Wattage range savings estimation method recommended by Navigant Study (average of </w:t>
            </w:r>
            <w:r w:rsidR="00D606E9" w:rsidRPr="00C57883">
              <w:rPr>
                <w:rFonts w:ascii="Arial" w:hAnsi="Arial" w:cs="Arial"/>
                <w:sz w:val="20"/>
                <w:szCs w:val="20"/>
              </w:rPr>
              <w:t xml:space="preserve">LED </w:t>
            </w:r>
            <w:r w:rsidR="00B56D9D" w:rsidRPr="00C57883">
              <w:rPr>
                <w:rFonts w:ascii="Arial" w:hAnsi="Arial" w:cs="Arial"/>
                <w:sz w:val="20"/>
                <w:szCs w:val="20"/>
              </w:rPr>
              <w:t>wattage</w:t>
            </w:r>
            <w:r w:rsidR="00A777F4" w:rsidRPr="00C57883">
              <w:rPr>
                <w:rFonts w:ascii="Arial" w:hAnsi="Arial" w:cs="Arial"/>
                <w:sz w:val="20"/>
                <w:szCs w:val="20"/>
              </w:rPr>
              <w:t xml:space="preserve"> within the</w:t>
            </w:r>
            <w:r w:rsidR="00B56D9D" w:rsidRPr="00C57883">
              <w:rPr>
                <w:rFonts w:ascii="Arial" w:hAnsi="Arial" w:cs="Arial"/>
                <w:sz w:val="20"/>
                <w:szCs w:val="20"/>
              </w:rPr>
              <w:t xml:space="preserve"> </w:t>
            </w:r>
            <w:r w:rsidR="00D606E9" w:rsidRPr="00C57883">
              <w:rPr>
                <w:rFonts w:ascii="Arial" w:hAnsi="Arial" w:cs="Arial"/>
                <w:sz w:val="20"/>
                <w:szCs w:val="20"/>
              </w:rPr>
              <w:t>range</w:t>
            </w:r>
            <w:r w:rsidRPr="00C57883">
              <w:rPr>
                <w:rFonts w:ascii="Arial" w:hAnsi="Arial" w:cs="Arial"/>
                <w:sz w:val="20"/>
                <w:szCs w:val="20"/>
              </w:rPr>
              <w:t xml:space="preserve"> </w:t>
            </w:r>
            <w:r w:rsidR="00A777F4" w:rsidRPr="00C57883">
              <w:rPr>
                <w:rFonts w:ascii="Arial" w:hAnsi="Arial" w:cs="Arial"/>
                <w:sz w:val="20"/>
                <w:szCs w:val="20"/>
              </w:rPr>
              <w:t xml:space="preserve">is used </w:t>
            </w:r>
            <w:r w:rsidRPr="00C57883">
              <w:rPr>
                <w:rFonts w:ascii="Arial" w:hAnsi="Arial" w:cs="Arial"/>
                <w:sz w:val="20"/>
                <w:szCs w:val="20"/>
              </w:rPr>
              <w:t>to</w:t>
            </w:r>
            <w:r w:rsidR="00D606E9" w:rsidRPr="00C57883">
              <w:rPr>
                <w:rFonts w:ascii="Arial" w:hAnsi="Arial" w:cs="Arial"/>
                <w:sz w:val="20"/>
                <w:szCs w:val="20"/>
              </w:rPr>
              <w:t xml:space="preserve"> </w:t>
            </w:r>
            <w:r w:rsidR="00A777F4" w:rsidRPr="00C57883">
              <w:rPr>
                <w:rFonts w:ascii="Arial" w:hAnsi="Arial" w:cs="Arial"/>
                <w:sz w:val="20"/>
                <w:szCs w:val="20"/>
              </w:rPr>
              <w:t>calculate savings)</w:t>
            </w:r>
          </w:p>
          <w:p w14:paraId="14A7F3AB" w14:textId="5278E565" w:rsidR="00464374" w:rsidRPr="00C57883" w:rsidRDefault="00464374" w:rsidP="001C4E97">
            <w:pPr>
              <w:rPr>
                <w:rFonts w:ascii="Arial" w:hAnsi="Arial" w:cs="Arial"/>
                <w:sz w:val="20"/>
                <w:szCs w:val="20"/>
              </w:rPr>
            </w:pPr>
            <w:r w:rsidRPr="00C57883">
              <w:rPr>
                <w:rFonts w:ascii="Arial" w:hAnsi="Arial" w:cs="Arial"/>
                <w:sz w:val="20"/>
                <w:szCs w:val="20"/>
              </w:rPr>
              <w:t>-</w:t>
            </w:r>
            <w:r w:rsidR="001C4E97" w:rsidRPr="004B3A7B">
              <w:rPr>
                <w:rFonts w:ascii="Arial" w:hAnsi="Arial" w:cs="Arial"/>
                <w:sz w:val="20"/>
                <w:szCs w:val="20"/>
              </w:rPr>
              <w:t xml:space="preserve">Updated cost </w:t>
            </w:r>
          </w:p>
        </w:tc>
        <w:tc>
          <w:tcPr>
            <w:tcW w:w="1692" w:type="pct"/>
            <w:shd w:val="clear" w:color="auto" w:fill="auto"/>
          </w:tcPr>
          <w:p w14:paraId="0A3BA324" w14:textId="5F627B0D" w:rsidR="00825E37" w:rsidRPr="00AB1CB6" w:rsidRDefault="00DB0DBA" w:rsidP="005C7190">
            <w:pPr>
              <w:rPr>
                <w:rFonts w:ascii="Arial" w:hAnsi="Arial" w:cs="Arial"/>
                <w:bCs/>
                <w:sz w:val="20"/>
                <w:szCs w:val="20"/>
              </w:rPr>
            </w:pPr>
            <w:r>
              <w:rPr>
                <w:rFonts w:ascii="Arial" w:hAnsi="Arial" w:cs="Arial"/>
                <w:bCs/>
                <w:sz w:val="20"/>
                <w:szCs w:val="20"/>
              </w:rPr>
              <w:t>Mini Damodaran(</w:t>
            </w:r>
            <w:r w:rsidRPr="00AB1CB6">
              <w:rPr>
                <w:rFonts w:ascii="Arial" w:hAnsi="Arial" w:cs="Arial"/>
                <w:bCs/>
                <w:sz w:val="20"/>
                <w:szCs w:val="20"/>
              </w:rPr>
              <w:t>PG&amp;E)</w:t>
            </w:r>
            <w:r>
              <w:rPr>
                <w:rFonts w:ascii="Arial" w:hAnsi="Arial" w:cs="Arial"/>
                <w:bCs/>
                <w:sz w:val="20"/>
                <w:szCs w:val="20"/>
              </w:rPr>
              <w:t>/</w:t>
            </w:r>
            <w:r w:rsidR="00485A0A" w:rsidRPr="00AB1CB6">
              <w:rPr>
                <w:rFonts w:ascii="Arial" w:hAnsi="Arial" w:cs="Arial"/>
                <w:bCs/>
                <w:sz w:val="20"/>
                <w:szCs w:val="20"/>
              </w:rPr>
              <w:t xml:space="preserve"> Greg Barker (Energy Solutions)</w:t>
            </w:r>
          </w:p>
        </w:tc>
      </w:tr>
      <w:tr w:rsidR="00DE6FFB" w:rsidRPr="00AB1CB6" w14:paraId="058181BE" w14:textId="77777777" w:rsidTr="006144FB">
        <w:trPr>
          <w:trHeight w:val="464"/>
        </w:trPr>
        <w:tc>
          <w:tcPr>
            <w:tcW w:w="870" w:type="pct"/>
            <w:shd w:val="clear" w:color="auto" w:fill="auto"/>
          </w:tcPr>
          <w:p w14:paraId="27B22CD7" w14:textId="77777777" w:rsidR="00DE6FFB" w:rsidRDefault="00DE6FFB" w:rsidP="00DE6FFB">
            <w:pPr>
              <w:rPr>
                <w:rFonts w:ascii="Arial" w:hAnsi="Arial" w:cs="Arial"/>
                <w:bCs/>
                <w:sz w:val="20"/>
                <w:szCs w:val="20"/>
              </w:rPr>
            </w:pPr>
            <w:r w:rsidRPr="00AB1CB6">
              <w:rPr>
                <w:rFonts w:ascii="Arial" w:hAnsi="Arial" w:cs="Arial"/>
                <w:bCs/>
                <w:sz w:val="20"/>
                <w:szCs w:val="20"/>
              </w:rPr>
              <w:t>Revision 3</w:t>
            </w:r>
          </w:p>
          <w:p w14:paraId="22606FB5" w14:textId="0EE59919" w:rsidR="00DE6FFB" w:rsidRPr="00AB1CB6" w:rsidRDefault="00D4710E" w:rsidP="00DE6FFB">
            <w:pPr>
              <w:rPr>
                <w:rFonts w:ascii="Arial" w:hAnsi="Arial" w:cs="Arial"/>
                <w:bCs/>
                <w:sz w:val="20"/>
                <w:szCs w:val="20"/>
              </w:rPr>
            </w:pPr>
            <w:r>
              <w:rPr>
                <w:rFonts w:ascii="Arial" w:hAnsi="Arial" w:cs="Arial"/>
                <w:bCs/>
                <w:sz w:val="20"/>
                <w:szCs w:val="20"/>
              </w:rPr>
              <w:t>(Interim Solution)</w:t>
            </w:r>
          </w:p>
        </w:tc>
        <w:tc>
          <w:tcPr>
            <w:tcW w:w="746" w:type="pct"/>
            <w:shd w:val="clear" w:color="auto" w:fill="auto"/>
          </w:tcPr>
          <w:p w14:paraId="68AA25DA" w14:textId="1C72D68E" w:rsidR="00DE6FFB" w:rsidRPr="00AB1CB6" w:rsidRDefault="00643F1E" w:rsidP="00DE6FFB">
            <w:pPr>
              <w:rPr>
                <w:rFonts w:ascii="Arial" w:hAnsi="Arial" w:cs="Arial"/>
                <w:bCs/>
                <w:sz w:val="20"/>
                <w:szCs w:val="20"/>
              </w:rPr>
            </w:pPr>
            <w:r>
              <w:rPr>
                <w:rFonts w:ascii="Arial" w:hAnsi="Arial" w:cs="Arial"/>
                <w:sz w:val="20"/>
                <w:szCs w:val="20"/>
              </w:rPr>
              <w:t>4/11</w:t>
            </w:r>
            <w:r w:rsidR="00DE6FFB">
              <w:rPr>
                <w:rFonts w:ascii="Arial" w:hAnsi="Arial" w:cs="Arial"/>
                <w:sz w:val="20"/>
                <w:szCs w:val="20"/>
              </w:rPr>
              <w:t>/2018</w:t>
            </w:r>
          </w:p>
        </w:tc>
        <w:tc>
          <w:tcPr>
            <w:tcW w:w="1692" w:type="pct"/>
            <w:shd w:val="clear" w:color="auto" w:fill="auto"/>
          </w:tcPr>
          <w:p w14:paraId="47C796C9" w14:textId="77777777" w:rsidR="00DE6FFB" w:rsidRDefault="00190AEF" w:rsidP="00DE6FFB">
            <w:pPr>
              <w:rPr>
                <w:rFonts w:ascii="Arial" w:hAnsi="Arial" w:cs="Arial"/>
                <w:sz w:val="20"/>
                <w:szCs w:val="20"/>
              </w:rPr>
            </w:pPr>
            <w:r>
              <w:rPr>
                <w:rFonts w:ascii="Arial" w:hAnsi="Arial" w:cs="Arial"/>
                <w:sz w:val="20"/>
                <w:szCs w:val="20"/>
              </w:rPr>
              <w:t>-Baseline percentage mixes include LEDs and remove Metal Halides</w:t>
            </w:r>
          </w:p>
          <w:p w14:paraId="1D1E3E7E" w14:textId="4A8BA448" w:rsidR="00190AEF" w:rsidRDefault="00190AEF" w:rsidP="00DE6FFB">
            <w:pPr>
              <w:rPr>
                <w:rFonts w:ascii="Arial" w:hAnsi="Arial" w:cs="Arial"/>
                <w:sz w:val="20"/>
                <w:szCs w:val="20"/>
              </w:rPr>
            </w:pPr>
            <w:r>
              <w:rPr>
                <w:rFonts w:ascii="Arial" w:hAnsi="Arial" w:cs="Arial"/>
                <w:sz w:val="20"/>
                <w:szCs w:val="20"/>
              </w:rPr>
              <w:t>-</w:t>
            </w:r>
            <w:r w:rsidR="008C6920">
              <w:rPr>
                <w:rFonts w:ascii="Arial" w:hAnsi="Arial" w:cs="Arial"/>
                <w:sz w:val="20"/>
                <w:szCs w:val="20"/>
              </w:rPr>
              <w:t xml:space="preserve">Created Tier 1 and Tier 2, which </w:t>
            </w:r>
            <w:r>
              <w:rPr>
                <w:rFonts w:ascii="Arial" w:hAnsi="Arial" w:cs="Arial"/>
                <w:sz w:val="20"/>
                <w:szCs w:val="20"/>
              </w:rPr>
              <w:t xml:space="preserve">aligns closely with </w:t>
            </w:r>
            <w:r w:rsidR="002C3514">
              <w:rPr>
                <w:rFonts w:ascii="Arial" w:hAnsi="Arial" w:cs="Arial"/>
                <w:sz w:val="20"/>
                <w:szCs w:val="20"/>
              </w:rPr>
              <w:t>Lighting Facts</w:t>
            </w:r>
            <w:r>
              <w:rPr>
                <w:rFonts w:ascii="Arial" w:hAnsi="Arial" w:cs="Arial"/>
                <w:sz w:val="20"/>
                <w:szCs w:val="20"/>
              </w:rPr>
              <w:t xml:space="preserve"> 50</w:t>
            </w:r>
            <w:r w:rsidRPr="00190AEF">
              <w:rPr>
                <w:rFonts w:ascii="Arial" w:hAnsi="Arial" w:cs="Arial"/>
                <w:sz w:val="20"/>
                <w:szCs w:val="20"/>
                <w:vertAlign w:val="superscript"/>
              </w:rPr>
              <w:t>th</w:t>
            </w:r>
            <w:r>
              <w:rPr>
                <w:rFonts w:ascii="Arial" w:hAnsi="Arial" w:cs="Arial"/>
                <w:sz w:val="20"/>
                <w:szCs w:val="20"/>
              </w:rPr>
              <w:t xml:space="preserve"> percentile efficacies and DLC Premium minimum efficacies as efficacy floors</w:t>
            </w:r>
          </w:p>
          <w:p w14:paraId="3C73B04A" w14:textId="77777777" w:rsidR="00190AEF" w:rsidRDefault="00190AEF" w:rsidP="00DE6FFB">
            <w:pPr>
              <w:rPr>
                <w:rFonts w:ascii="Arial" w:hAnsi="Arial" w:cs="Arial"/>
                <w:sz w:val="20"/>
                <w:szCs w:val="20"/>
              </w:rPr>
            </w:pPr>
            <w:r>
              <w:rPr>
                <w:rFonts w:ascii="Arial" w:hAnsi="Arial" w:cs="Arial"/>
                <w:sz w:val="20"/>
                <w:szCs w:val="20"/>
              </w:rPr>
              <w:t xml:space="preserve">-Aligns technical requirements with DLC Technical Requirements update v4.3 </w:t>
            </w:r>
          </w:p>
          <w:p w14:paraId="627B17C0" w14:textId="353160FD" w:rsidR="00941175" w:rsidRPr="009800D7" w:rsidRDefault="00941175" w:rsidP="00DE6FFB">
            <w:pPr>
              <w:rPr>
                <w:rFonts w:ascii="Arial" w:hAnsi="Arial" w:cs="Arial"/>
                <w:sz w:val="20"/>
                <w:szCs w:val="20"/>
              </w:rPr>
            </w:pPr>
            <w:r>
              <w:rPr>
                <w:rFonts w:ascii="Arial" w:hAnsi="Arial" w:cs="Arial"/>
                <w:sz w:val="20"/>
                <w:szCs w:val="20"/>
              </w:rPr>
              <w:t>-Cost is a temporary placeholder that uses IMC as a percentage of the rebate amount</w:t>
            </w:r>
          </w:p>
        </w:tc>
        <w:tc>
          <w:tcPr>
            <w:tcW w:w="1692" w:type="pct"/>
            <w:shd w:val="clear" w:color="auto" w:fill="auto"/>
          </w:tcPr>
          <w:p w14:paraId="7D3083F6" w14:textId="77777777" w:rsidR="00DE6FFB" w:rsidRDefault="00DE6FFB" w:rsidP="00DE6FFB">
            <w:pPr>
              <w:rPr>
                <w:rFonts w:ascii="Arial" w:hAnsi="Arial" w:cs="Arial"/>
                <w:bCs/>
                <w:sz w:val="20"/>
                <w:szCs w:val="20"/>
              </w:rPr>
            </w:pPr>
            <w:r>
              <w:rPr>
                <w:rFonts w:ascii="Arial" w:hAnsi="Arial" w:cs="Arial"/>
                <w:bCs/>
                <w:sz w:val="20"/>
                <w:szCs w:val="20"/>
              </w:rPr>
              <w:t>Mini Damodaran(</w:t>
            </w:r>
            <w:r w:rsidRPr="00AB1CB6">
              <w:rPr>
                <w:rFonts w:ascii="Arial" w:hAnsi="Arial" w:cs="Arial"/>
                <w:bCs/>
                <w:sz w:val="20"/>
                <w:szCs w:val="20"/>
              </w:rPr>
              <w:t>PG&amp;E)</w:t>
            </w:r>
          </w:p>
          <w:p w14:paraId="5D30C2FB" w14:textId="6032036C" w:rsidR="00DE6FFB" w:rsidRDefault="00DE6FFB" w:rsidP="00DE6FFB">
            <w:pPr>
              <w:rPr>
                <w:rFonts w:ascii="Arial" w:hAnsi="Arial" w:cs="Arial"/>
                <w:bCs/>
                <w:sz w:val="20"/>
                <w:szCs w:val="20"/>
              </w:rPr>
            </w:pPr>
            <w:r>
              <w:rPr>
                <w:rFonts w:ascii="Arial" w:hAnsi="Arial" w:cs="Arial"/>
                <w:bCs/>
                <w:sz w:val="20"/>
                <w:szCs w:val="20"/>
              </w:rPr>
              <w:t>Linda Wan (PG&amp;E)</w:t>
            </w:r>
          </w:p>
          <w:p w14:paraId="79BA3C8B" w14:textId="2D031FD1" w:rsidR="00F722A8" w:rsidRDefault="00F722A8" w:rsidP="00DE6FFB">
            <w:pPr>
              <w:rPr>
                <w:rFonts w:ascii="Arial" w:hAnsi="Arial" w:cs="Arial"/>
                <w:bCs/>
                <w:sz w:val="20"/>
                <w:szCs w:val="20"/>
              </w:rPr>
            </w:pPr>
            <w:r>
              <w:rPr>
                <w:rFonts w:ascii="Arial" w:hAnsi="Arial" w:cs="Arial"/>
                <w:bCs/>
                <w:sz w:val="20"/>
                <w:szCs w:val="20"/>
              </w:rPr>
              <w:t>Pauravi Shah (PG&amp;E)</w:t>
            </w:r>
          </w:p>
          <w:p w14:paraId="274B0EBF" w14:textId="4C07AAD0" w:rsidR="00DE6FFB" w:rsidRPr="00AB1CB6" w:rsidRDefault="00DE6FFB" w:rsidP="00DE6FFB">
            <w:pPr>
              <w:rPr>
                <w:rFonts w:ascii="Arial" w:hAnsi="Arial" w:cs="Arial"/>
                <w:bCs/>
                <w:sz w:val="20"/>
                <w:szCs w:val="20"/>
              </w:rPr>
            </w:pPr>
            <w:r w:rsidRPr="00AB1CB6">
              <w:rPr>
                <w:rFonts w:ascii="Arial" w:hAnsi="Arial" w:cs="Arial"/>
                <w:bCs/>
                <w:sz w:val="20"/>
                <w:szCs w:val="20"/>
              </w:rPr>
              <w:t>Greg Barker (Energy Solutions)</w:t>
            </w:r>
          </w:p>
        </w:tc>
      </w:tr>
    </w:tbl>
    <w:p w14:paraId="50460B8A" w14:textId="7195EE21" w:rsidR="00783DAC" w:rsidRPr="00783DAC" w:rsidRDefault="00783DAC" w:rsidP="00783DAC">
      <w:pPr>
        <w:rPr>
          <w:vanish/>
        </w:rPr>
      </w:pPr>
      <w:bookmarkStart w:id="7" w:name="_Toc186621650"/>
    </w:p>
    <w:p w14:paraId="2A357FB5" w14:textId="77777777" w:rsidR="00E71EF1" w:rsidRDefault="00E71EF1" w:rsidP="00F55847">
      <w:pPr>
        <w:pStyle w:val="Heading1"/>
      </w:pPr>
      <w:bookmarkStart w:id="8" w:name="_Toc304800197"/>
      <w:r w:rsidRPr="006832A4">
        <w:br w:type="page"/>
      </w:r>
      <w:bookmarkStart w:id="9" w:name="_Toc511038023"/>
      <w:bookmarkStart w:id="10" w:name="_Toc511244874"/>
      <w:r w:rsidR="001248A3">
        <w:lastRenderedPageBreak/>
        <w:t>Table</w:t>
      </w:r>
      <w:r w:rsidR="006559C8">
        <w:t xml:space="preserve"> of Contents</w:t>
      </w:r>
      <w:bookmarkEnd w:id="7"/>
      <w:bookmarkEnd w:id="8"/>
      <w:bookmarkEnd w:id="9"/>
      <w:bookmarkEnd w:id="10"/>
    </w:p>
    <w:p w14:paraId="35A8C632" w14:textId="208981D5" w:rsidR="00C426D4" w:rsidRDefault="009F6F8B">
      <w:pPr>
        <w:pStyle w:val="TOC1"/>
        <w:tabs>
          <w:tab w:val="right" w:leader="dot" w:pos="9350"/>
        </w:tabs>
        <w:rPr>
          <w:rFonts w:asciiTheme="minorHAnsi" w:eastAsiaTheme="minorEastAsia" w:hAnsiTheme="minorHAnsi" w:cstheme="minorBidi"/>
          <w:noProof/>
          <w:sz w:val="22"/>
          <w:szCs w:val="22"/>
        </w:rPr>
      </w:pPr>
      <w:r w:rsidRPr="1AA8F051">
        <w:rPr>
          <w:b/>
          <w:bCs/>
        </w:rPr>
        <w:fldChar w:fldCharType="begin"/>
      </w:r>
      <w:r>
        <w:rPr>
          <w:b/>
          <w:bCs/>
        </w:rPr>
        <w:instrText xml:space="preserve"> TOC \o "1-3" \h \z \u </w:instrText>
      </w:r>
      <w:r w:rsidRPr="1AA8F051">
        <w:rPr>
          <w:b/>
          <w:bCs/>
        </w:rPr>
        <w:fldChar w:fldCharType="separate"/>
      </w:r>
      <w:hyperlink w:anchor="_Toc511244872" w:history="1">
        <w:r w:rsidR="00C426D4" w:rsidRPr="00170F13">
          <w:rPr>
            <w:rStyle w:val="Hyperlink"/>
            <w:noProof/>
          </w:rPr>
          <w:t>At-a-Glance Summary</w:t>
        </w:r>
        <w:r w:rsidR="00C426D4">
          <w:rPr>
            <w:noProof/>
            <w:webHidden/>
          </w:rPr>
          <w:tab/>
        </w:r>
        <w:r w:rsidR="00C426D4">
          <w:rPr>
            <w:noProof/>
            <w:webHidden/>
          </w:rPr>
          <w:fldChar w:fldCharType="begin"/>
        </w:r>
        <w:r w:rsidR="00C426D4">
          <w:rPr>
            <w:noProof/>
            <w:webHidden/>
          </w:rPr>
          <w:instrText xml:space="preserve"> PAGEREF _Toc511244872 \h </w:instrText>
        </w:r>
        <w:r w:rsidR="00C426D4">
          <w:rPr>
            <w:noProof/>
            <w:webHidden/>
          </w:rPr>
        </w:r>
        <w:r w:rsidR="00C426D4">
          <w:rPr>
            <w:noProof/>
            <w:webHidden/>
          </w:rPr>
          <w:fldChar w:fldCharType="separate"/>
        </w:r>
        <w:r w:rsidR="00C426D4">
          <w:rPr>
            <w:noProof/>
            <w:webHidden/>
          </w:rPr>
          <w:t>ii</w:t>
        </w:r>
        <w:r w:rsidR="00C426D4">
          <w:rPr>
            <w:noProof/>
            <w:webHidden/>
          </w:rPr>
          <w:fldChar w:fldCharType="end"/>
        </w:r>
      </w:hyperlink>
    </w:p>
    <w:p w14:paraId="26C84C00" w14:textId="27B78360"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73" w:history="1">
        <w:r w:rsidRPr="00170F13">
          <w:rPr>
            <w:rStyle w:val="Hyperlink"/>
            <w:noProof/>
          </w:rPr>
          <w:t>Document Revision History</w:t>
        </w:r>
        <w:r>
          <w:rPr>
            <w:noProof/>
            <w:webHidden/>
          </w:rPr>
          <w:tab/>
        </w:r>
        <w:r>
          <w:rPr>
            <w:noProof/>
            <w:webHidden/>
          </w:rPr>
          <w:fldChar w:fldCharType="begin"/>
        </w:r>
        <w:r>
          <w:rPr>
            <w:noProof/>
            <w:webHidden/>
          </w:rPr>
          <w:instrText xml:space="preserve"> PAGEREF _Toc511244873 \h </w:instrText>
        </w:r>
        <w:r>
          <w:rPr>
            <w:noProof/>
            <w:webHidden/>
          </w:rPr>
        </w:r>
        <w:r>
          <w:rPr>
            <w:noProof/>
            <w:webHidden/>
          </w:rPr>
          <w:fldChar w:fldCharType="separate"/>
        </w:r>
        <w:r>
          <w:rPr>
            <w:noProof/>
            <w:webHidden/>
          </w:rPr>
          <w:t>iii</w:t>
        </w:r>
        <w:r>
          <w:rPr>
            <w:noProof/>
            <w:webHidden/>
          </w:rPr>
          <w:fldChar w:fldCharType="end"/>
        </w:r>
      </w:hyperlink>
    </w:p>
    <w:p w14:paraId="6D185BB0" w14:textId="09BB04EE"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74" w:history="1">
        <w:r w:rsidRPr="00170F13">
          <w:rPr>
            <w:rStyle w:val="Hyperlink"/>
            <w:noProof/>
          </w:rPr>
          <w:t>Table of Contents</w:t>
        </w:r>
        <w:r>
          <w:rPr>
            <w:noProof/>
            <w:webHidden/>
          </w:rPr>
          <w:tab/>
        </w:r>
        <w:r>
          <w:rPr>
            <w:noProof/>
            <w:webHidden/>
          </w:rPr>
          <w:fldChar w:fldCharType="begin"/>
        </w:r>
        <w:r>
          <w:rPr>
            <w:noProof/>
            <w:webHidden/>
          </w:rPr>
          <w:instrText xml:space="preserve"> PAGEREF _Toc511244874 \h </w:instrText>
        </w:r>
        <w:r>
          <w:rPr>
            <w:noProof/>
            <w:webHidden/>
          </w:rPr>
        </w:r>
        <w:r>
          <w:rPr>
            <w:noProof/>
            <w:webHidden/>
          </w:rPr>
          <w:fldChar w:fldCharType="separate"/>
        </w:r>
        <w:r>
          <w:rPr>
            <w:noProof/>
            <w:webHidden/>
          </w:rPr>
          <w:t>iv</w:t>
        </w:r>
        <w:r>
          <w:rPr>
            <w:noProof/>
            <w:webHidden/>
          </w:rPr>
          <w:fldChar w:fldCharType="end"/>
        </w:r>
      </w:hyperlink>
    </w:p>
    <w:p w14:paraId="5A8257E9" w14:textId="1B9E902C"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75" w:history="1">
        <w:r w:rsidRPr="00170F13">
          <w:rPr>
            <w:rStyle w:val="Hyperlink"/>
            <w:noProof/>
          </w:rPr>
          <w:t>List of Tables</w:t>
        </w:r>
        <w:r>
          <w:rPr>
            <w:noProof/>
            <w:webHidden/>
          </w:rPr>
          <w:tab/>
        </w:r>
        <w:r>
          <w:rPr>
            <w:noProof/>
            <w:webHidden/>
          </w:rPr>
          <w:fldChar w:fldCharType="begin"/>
        </w:r>
        <w:r>
          <w:rPr>
            <w:noProof/>
            <w:webHidden/>
          </w:rPr>
          <w:instrText xml:space="preserve"> PAGEREF _Toc511244875 \h </w:instrText>
        </w:r>
        <w:r>
          <w:rPr>
            <w:noProof/>
            <w:webHidden/>
          </w:rPr>
        </w:r>
        <w:r>
          <w:rPr>
            <w:noProof/>
            <w:webHidden/>
          </w:rPr>
          <w:fldChar w:fldCharType="separate"/>
        </w:r>
        <w:r>
          <w:rPr>
            <w:noProof/>
            <w:webHidden/>
          </w:rPr>
          <w:t>iv</w:t>
        </w:r>
        <w:r>
          <w:rPr>
            <w:noProof/>
            <w:webHidden/>
          </w:rPr>
          <w:fldChar w:fldCharType="end"/>
        </w:r>
      </w:hyperlink>
    </w:p>
    <w:p w14:paraId="557371EA" w14:textId="64A5F517"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76" w:history="1">
        <w:r w:rsidRPr="00170F13">
          <w:rPr>
            <w:rStyle w:val="Hyperlink"/>
            <w:noProof/>
          </w:rPr>
          <w:t>List of Figures</w:t>
        </w:r>
        <w:r>
          <w:rPr>
            <w:noProof/>
            <w:webHidden/>
          </w:rPr>
          <w:tab/>
        </w:r>
        <w:r>
          <w:rPr>
            <w:noProof/>
            <w:webHidden/>
          </w:rPr>
          <w:fldChar w:fldCharType="begin"/>
        </w:r>
        <w:r>
          <w:rPr>
            <w:noProof/>
            <w:webHidden/>
          </w:rPr>
          <w:instrText xml:space="preserve"> PAGEREF _Toc511244876 \h </w:instrText>
        </w:r>
        <w:r>
          <w:rPr>
            <w:noProof/>
            <w:webHidden/>
          </w:rPr>
        </w:r>
        <w:r>
          <w:rPr>
            <w:noProof/>
            <w:webHidden/>
          </w:rPr>
          <w:fldChar w:fldCharType="separate"/>
        </w:r>
        <w:r>
          <w:rPr>
            <w:noProof/>
            <w:webHidden/>
          </w:rPr>
          <w:t>5</w:t>
        </w:r>
        <w:r>
          <w:rPr>
            <w:noProof/>
            <w:webHidden/>
          </w:rPr>
          <w:fldChar w:fldCharType="end"/>
        </w:r>
      </w:hyperlink>
    </w:p>
    <w:p w14:paraId="48E609E8" w14:textId="59151685"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77" w:history="1">
        <w:r w:rsidRPr="00170F13">
          <w:rPr>
            <w:rStyle w:val="Hyperlink"/>
            <w:noProof/>
          </w:rPr>
          <w:t>Section 1 General Measure &amp; Baseline Data</w:t>
        </w:r>
        <w:r>
          <w:rPr>
            <w:noProof/>
            <w:webHidden/>
          </w:rPr>
          <w:tab/>
        </w:r>
        <w:r>
          <w:rPr>
            <w:noProof/>
            <w:webHidden/>
          </w:rPr>
          <w:fldChar w:fldCharType="begin"/>
        </w:r>
        <w:r>
          <w:rPr>
            <w:noProof/>
            <w:webHidden/>
          </w:rPr>
          <w:instrText xml:space="preserve"> PAGEREF _Toc511244877 \h </w:instrText>
        </w:r>
        <w:r>
          <w:rPr>
            <w:noProof/>
            <w:webHidden/>
          </w:rPr>
        </w:r>
        <w:r>
          <w:rPr>
            <w:noProof/>
            <w:webHidden/>
          </w:rPr>
          <w:fldChar w:fldCharType="separate"/>
        </w:r>
        <w:r>
          <w:rPr>
            <w:noProof/>
            <w:webHidden/>
          </w:rPr>
          <w:t>2</w:t>
        </w:r>
        <w:r>
          <w:rPr>
            <w:noProof/>
            <w:webHidden/>
          </w:rPr>
          <w:fldChar w:fldCharType="end"/>
        </w:r>
      </w:hyperlink>
    </w:p>
    <w:p w14:paraId="3C16D256" w14:textId="4AB46FE5"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78" w:history="1">
        <w:r w:rsidRPr="00170F13">
          <w:rPr>
            <w:rStyle w:val="Hyperlink"/>
            <w:noProof/>
          </w:rPr>
          <w:t>1.1 Measure Description &amp; Background</w:t>
        </w:r>
        <w:r>
          <w:rPr>
            <w:noProof/>
            <w:webHidden/>
          </w:rPr>
          <w:tab/>
        </w:r>
        <w:r>
          <w:rPr>
            <w:noProof/>
            <w:webHidden/>
          </w:rPr>
          <w:fldChar w:fldCharType="begin"/>
        </w:r>
        <w:r>
          <w:rPr>
            <w:noProof/>
            <w:webHidden/>
          </w:rPr>
          <w:instrText xml:space="preserve"> PAGEREF _Toc511244878 \h </w:instrText>
        </w:r>
        <w:r>
          <w:rPr>
            <w:noProof/>
            <w:webHidden/>
          </w:rPr>
        </w:r>
        <w:r>
          <w:rPr>
            <w:noProof/>
            <w:webHidden/>
          </w:rPr>
          <w:fldChar w:fldCharType="separate"/>
        </w:r>
        <w:r>
          <w:rPr>
            <w:noProof/>
            <w:webHidden/>
          </w:rPr>
          <w:t>2</w:t>
        </w:r>
        <w:r>
          <w:rPr>
            <w:noProof/>
            <w:webHidden/>
          </w:rPr>
          <w:fldChar w:fldCharType="end"/>
        </w:r>
      </w:hyperlink>
    </w:p>
    <w:p w14:paraId="52900AE7" w14:textId="1E358B25"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79" w:history="1">
        <w:r w:rsidRPr="00170F13">
          <w:rPr>
            <w:rStyle w:val="Hyperlink"/>
            <w:noProof/>
          </w:rPr>
          <w:t>1.2 Technical Description</w:t>
        </w:r>
        <w:r>
          <w:rPr>
            <w:noProof/>
            <w:webHidden/>
          </w:rPr>
          <w:tab/>
        </w:r>
        <w:r>
          <w:rPr>
            <w:noProof/>
            <w:webHidden/>
          </w:rPr>
          <w:fldChar w:fldCharType="begin"/>
        </w:r>
        <w:r>
          <w:rPr>
            <w:noProof/>
            <w:webHidden/>
          </w:rPr>
          <w:instrText xml:space="preserve"> PAGEREF _Toc511244879 \h </w:instrText>
        </w:r>
        <w:r>
          <w:rPr>
            <w:noProof/>
            <w:webHidden/>
          </w:rPr>
        </w:r>
        <w:r>
          <w:rPr>
            <w:noProof/>
            <w:webHidden/>
          </w:rPr>
          <w:fldChar w:fldCharType="separate"/>
        </w:r>
        <w:r>
          <w:rPr>
            <w:noProof/>
            <w:webHidden/>
          </w:rPr>
          <w:t>4</w:t>
        </w:r>
        <w:r>
          <w:rPr>
            <w:noProof/>
            <w:webHidden/>
          </w:rPr>
          <w:fldChar w:fldCharType="end"/>
        </w:r>
      </w:hyperlink>
    </w:p>
    <w:p w14:paraId="7AFF1BB4" w14:textId="63E83651"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80" w:history="1">
        <w:r w:rsidRPr="00170F13">
          <w:rPr>
            <w:rStyle w:val="Hyperlink"/>
            <w:noProof/>
          </w:rPr>
          <w:t>1.3 Installation Types and Delivery Mechanisms</w:t>
        </w:r>
        <w:r>
          <w:rPr>
            <w:noProof/>
            <w:webHidden/>
          </w:rPr>
          <w:tab/>
        </w:r>
        <w:r>
          <w:rPr>
            <w:noProof/>
            <w:webHidden/>
          </w:rPr>
          <w:fldChar w:fldCharType="begin"/>
        </w:r>
        <w:r>
          <w:rPr>
            <w:noProof/>
            <w:webHidden/>
          </w:rPr>
          <w:instrText xml:space="preserve"> PAGEREF _Toc511244880 \h </w:instrText>
        </w:r>
        <w:r>
          <w:rPr>
            <w:noProof/>
            <w:webHidden/>
          </w:rPr>
        </w:r>
        <w:r>
          <w:rPr>
            <w:noProof/>
            <w:webHidden/>
          </w:rPr>
          <w:fldChar w:fldCharType="separate"/>
        </w:r>
        <w:r>
          <w:rPr>
            <w:noProof/>
            <w:webHidden/>
          </w:rPr>
          <w:t>5</w:t>
        </w:r>
        <w:r>
          <w:rPr>
            <w:noProof/>
            <w:webHidden/>
          </w:rPr>
          <w:fldChar w:fldCharType="end"/>
        </w:r>
      </w:hyperlink>
    </w:p>
    <w:p w14:paraId="27D6B5CA" w14:textId="3969D068"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81" w:history="1">
        <w:r w:rsidRPr="00170F13">
          <w:rPr>
            <w:rStyle w:val="Hyperlink"/>
            <w:noProof/>
          </w:rPr>
          <w:t>1.4 Measure Parameters</w:t>
        </w:r>
        <w:r>
          <w:rPr>
            <w:noProof/>
            <w:webHidden/>
          </w:rPr>
          <w:tab/>
        </w:r>
        <w:r>
          <w:rPr>
            <w:noProof/>
            <w:webHidden/>
          </w:rPr>
          <w:fldChar w:fldCharType="begin"/>
        </w:r>
        <w:r>
          <w:rPr>
            <w:noProof/>
            <w:webHidden/>
          </w:rPr>
          <w:instrText xml:space="preserve"> PAGEREF _Toc511244881 \h </w:instrText>
        </w:r>
        <w:r>
          <w:rPr>
            <w:noProof/>
            <w:webHidden/>
          </w:rPr>
        </w:r>
        <w:r>
          <w:rPr>
            <w:noProof/>
            <w:webHidden/>
          </w:rPr>
          <w:fldChar w:fldCharType="separate"/>
        </w:r>
        <w:r>
          <w:rPr>
            <w:noProof/>
            <w:webHidden/>
          </w:rPr>
          <w:t>6</w:t>
        </w:r>
        <w:r>
          <w:rPr>
            <w:noProof/>
            <w:webHidden/>
          </w:rPr>
          <w:fldChar w:fldCharType="end"/>
        </w:r>
      </w:hyperlink>
    </w:p>
    <w:p w14:paraId="7308C159" w14:textId="59E0C767"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2" w:history="1">
        <w:r w:rsidRPr="00170F13">
          <w:rPr>
            <w:rStyle w:val="Hyperlink"/>
            <w:noProof/>
          </w:rPr>
          <w:t>1.4.1 DEER Data</w:t>
        </w:r>
        <w:r>
          <w:rPr>
            <w:noProof/>
            <w:webHidden/>
          </w:rPr>
          <w:tab/>
        </w:r>
        <w:r>
          <w:rPr>
            <w:noProof/>
            <w:webHidden/>
          </w:rPr>
          <w:fldChar w:fldCharType="begin"/>
        </w:r>
        <w:r>
          <w:rPr>
            <w:noProof/>
            <w:webHidden/>
          </w:rPr>
          <w:instrText xml:space="preserve"> PAGEREF _Toc511244882 \h </w:instrText>
        </w:r>
        <w:r>
          <w:rPr>
            <w:noProof/>
            <w:webHidden/>
          </w:rPr>
        </w:r>
        <w:r>
          <w:rPr>
            <w:noProof/>
            <w:webHidden/>
          </w:rPr>
          <w:fldChar w:fldCharType="separate"/>
        </w:r>
        <w:r>
          <w:rPr>
            <w:noProof/>
            <w:webHidden/>
          </w:rPr>
          <w:t>6</w:t>
        </w:r>
        <w:r>
          <w:rPr>
            <w:noProof/>
            <w:webHidden/>
          </w:rPr>
          <w:fldChar w:fldCharType="end"/>
        </w:r>
      </w:hyperlink>
    </w:p>
    <w:p w14:paraId="31EE71AA" w14:textId="04800FF5"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3" w:history="1">
        <w:r w:rsidRPr="00170F13">
          <w:rPr>
            <w:rStyle w:val="Hyperlink"/>
            <w:noProof/>
          </w:rPr>
          <w:t>1.4.2 Codes &amp; Standards Analysis</w:t>
        </w:r>
        <w:r>
          <w:rPr>
            <w:noProof/>
            <w:webHidden/>
          </w:rPr>
          <w:tab/>
        </w:r>
        <w:r>
          <w:rPr>
            <w:noProof/>
            <w:webHidden/>
          </w:rPr>
          <w:fldChar w:fldCharType="begin"/>
        </w:r>
        <w:r>
          <w:rPr>
            <w:noProof/>
            <w:webHidden/>
          </w:rPr>
          <w:instrText xml:space="preserve"> PAGEREF _Toc511244883 \h </w:instrText>
        </w:r>
        <w:r>
          <w:rPr>
            <w:noProof/>
            <w:webHidden/>
          </w:rPr>
        </w:r>
        <w:r>
          <w:rPr>
            <w:noProof/>
            <w:webHidden/>
          </w:rPr>
          <w:fldChar w:fldCharType="separate"/>
        </w:r>
        <w:r>
          <w:rPr>
            <w:noProof/>
            <w:webHidden/>
          </w:rPr>
          <w:t>7</w:t>
        </w:r>
        <w:r>
          <w:rPr>
            <w:noProof/>
            <w:webHidden/>
          </w:rPr>
          <w:fldChar w:fldCharType="end"/>
        </w:r>
      </w:hyperlink>
    </w:p>
    <w:p w14:paraId="238B43D4" w14:textId="3744125B"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84" w:history="1">
        <w:r w:rsidRPr="00170F13">
          <w:rPr>
            <w:rStyle w:val="Hyperlink"/>
            <w:noProof/>
          </w:rPr>
          <w:t>1.5 EM&amp;V, Market Potential, and Other Studies – Base Case and Measure Case Information</w:t>
        </w:r>
        <w:r>
          <w:rPr>
            <w:noProof/>
            <w:webHidden/>
          </w:rPr>
          <w:tab/>
        </w:r>
        <w:r>
          <w:rPr>
            <w:noProof/>
            <w:webHidden/>
          </w:rPr>
          <w:fldChar w:fldCharType="begin"/>
        </w:r>
        <w:r>
          <w:rPr>
            <w:noProof/>
            <w:webHidden/>
          </w:rPr>
          <w:instrText xml:space="preserve"> PAGEREF _Toc511244884 \h </w:instrText>
        </w:r>
        <w:r>
          <w:rPr>
            <w:noProof/>
            <w:webHidden/>
          </w:rPr>
        </w:r>
        <w:r>
          <w:rPr>
            <w:noProof/>
            <w:webHidden/>
          </w:rPr>
          <w:fldChar w:fldCharType="separate"/>
        </w:r>
        <w:r>
          <w:rPr>
            <w:noProof/>
            <w:webHidden/>
          </w:rPr>
          <w:t>2</w:t>
        </w:r>
        <w:r>
          <w:rPr>
            <w:noProof/>
            <w:webHidden/>
          </w:rPr>
          <w:fldChar w:fldCharType="end"/>
        </w:r>
      </w:hyperlink>
    </w:p>
    <w:p w14:paraId="30B5D0EB" w14:textId="7AA19664"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5" w:history="1">
        <w:r w:rsidRPr="00170F13">
          <w:rPr>
            <w:rStyle w:val="Hyperlink"/>
            <w:noProof/>
          </w:rPr>
          <w:t>1.5.1 Lighting Dispositions</w:t>
        </w:r>
        <w:r>
          <w:rPr>
            <w:noProof/>
            <w:webHidden/>
          </w:rPr>
          <w:tab/>
        </w:r>
        <w:r>
          <w:rPr>
            <w:noProof/>
            <w:webHidden/>
          </w:rPr>
          <w:fldChar w:fldCharType="begin"/>
        </w:r>
        <w:r>
          <w:rPr>
            <w:noProof/>
            <w:webHidden/>
          </w:rPr>
          <w:instrText xml:space="preserve"> PAGEREF _Toc511244885 \h </w:instrText>
        </w:r>
        <w:r>
          <w:rPr>
            <w:noProof/>
            <w:webHidden/>
          </w:rPr>
        </w:r>
        <w:r>
          <w:rPr>
            <w:noProof/>
            <w:webHidden/>
          </w:rPr>
          <w:fldChar w:fldCharType="separate"/>
        </w:r>
        <w:r>
          <w:rPr>
            <w:noProof/>
            <w:webHidden/>
          </w:rPr>
          <w:t>2</w:t>
        </w:r>
        <w:r>
          <w:rPr>
            <w:noProof/>
            <w:webHidden/>
          </w:rPr>
          <w:fldChar w:fldCharType="end"/>
        </w:r>
      </w:hyperlink>
    </w:p>
    <w:p w14:paraId="4A1C83FD" w14:textId="3EB45807"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6" w:history="1">
        <w:r w:rsidRPr="00170F13">
          <w:rPr>
            <w:rStyle w:val="Hyperlink"/>
            <w:noProof/>
          </w:rPr>
          <w:t>1.5.2 California LED Pricing Analysis, Navigant 2018</w:t>
        </w:r>
        <w:r>
          <w:rPr>
            <w:noProof/>
            <w:webHidden/>
          </w:rPr>
          <w:tab/>
        </w:r>
        <w:r>
          <w:rPr>
            <w:noProof/>
            <w:webHidden/>
          </w:rPr>
          <w:fldChar w:fldCharType="begin"/>
        </w:r>
        <w:r>
          <w:rPr>
            <w:noProof/>
            <w:webHidden/>
          </w:rPr>
          <w:instrText xml:space="preserve"> PAGEREF _Toc511244886 \h </w:instrText>
        </w:r>
        <w:r>
          <w:rPr>
            <w:noProof/>
            <w:webHidden/>
          </w:rPr>
        </w:r>
        <w:r>
          <w:rPr>
            <w:noProof/>
            <w:webHidden/>
          </w:rPr>
          <w:fldChar w:fldCharType="separate"/>
        </w:r>
        <w:r>
          <w:rPr>
            <w:noProof/>
            <w:webHidden/>
          </w:rPr>
          <w:t>2</w:t>
        </w:r>
        <w:r>
          <w:rPr>
            <w:noProof/>
            <w:webHidden/>
          </w:rPr>
          <w:fldChar w:fldCharType="end"/>
        </w:r>
      </w:hyperlink>
    </w:p>
    <w:p w14:paraId="430058BA" w14:textId="019D6BDB"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7" w:history="1">
        <w:r w:rsidRPr="00170F13">
          <w:rPr>
            <w:rStyle w:val="Hyperlink"/>
            <w:noProof/>
          </w:rPr>
          <w:t>1.5.3 LED Workpaper Update Study, Navigant 2015</w:t>
        </w:r>
        <w:r>
          <w:rPr>
            <w:noProof/>
            <w:webHidden/>
          </w:rPr>
          <w:tab/>
        </w:r>
        <w:r>
          <w:rPr>
            <w:noProof/>
            <w:webHidden/>
          </w:rPr>
          <w:fldChar w:fldCharType="begin"/>
        </w:r>
        <w:r>
          <w:rPr>
            <w:noProof/>
            <w:webHidden/>
          </w:rPr>
          <w:instrText xml:space="preserve"> PAGEREF _Toc511244887 \h </w:instrText>
        </w:r>
        <w:r>
          <w:rPr>
            <w:noProof/>
            <w:webHidden/>
          </w:rPr>
        </w:r>
        <w:r>
          <w:rPr>
            <w:noProof/>
            <w:webHidden/>
          </w:rPr>
          <w:fldChar w:fldCharType="separate"/>
        </w:r>
        <w:r>
          <w:rPr>
            <w:noProof/>
            <w:webHidden/>
          </w:rPr>
          <w:t>4</w:t>
        </w:r>
        <w:r>
          <w:rPr>
            <w:noProof/>
            <w:webHidden/>
          </w:rPr>
          <w:fldChar w:fldCharType="end"/>
        </w:r>
      </w:hyperlink>
    </w:p>
    <w:p w14:paraId="7F58ACE9" w14:textId="3B84ED61"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8" w:history="1">
        <w:r w:rsidRPr="00170F13">
          <w:rPr>
            <w:rStyle w:val="Hyperlink"/>
            <w:noProof/>
          </w:rPr>
          <w:t>1.5.4 LED Non-Residential Lighting Market Characterization, Navigant – In Progress</w:t>
        </w:r>
        <w:r>
          <w:rPr>
            <w:noProof/>
            <w:webHidden/>
          </w:rPr>
          <w:tab/>
        </w:r>
        <w:r>
          <w:rPr>
            <w:noProof/>
            <w:webHidden/>
          </w:rPr>
          <w:fldChar w:fldCharType="begin"/>
        </w:r>
        <w:r>
          <w:rPr>
            <w:noProof/>
            <w:webHidden/>
          </w:rPr>
          <w:instrText xml:space="preserve"> PAGEREF _Toc511244888 \h </w:instrText>
        </w:r>
        <w:r>
          <w:rPr>
            <w:noProof/>
            <w:webHidden/>
          </w:rPr>
        </w:r>
        <w:r>
          <w:rPr>
            <w:noProof/>
            <w:webHidden/>
          </w:rPr>
          <w:fldChar w:fldCharType="separate"/>
        </w:r>
        <w:r>
          <w:rPr>
            <w:noProof/>
            <w:webHidden/>
          </w:rPr>
          <w:t>6</w:t>
        </w:r>
        <w:r>
          <w:rPr>
            <w:noProof/>
            <w:webHidden/>
          </w:rPr>
          <w:fldChar w:fldCharType="end"/>
        </w:r>
      </w:hyperlink>
    </w:p>
    <w:p w14:paraId="07EE6294" w14:textId="67D76164"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89" w:history="1">
        <w:r w:rsidRPr="00170F13">
          <w:rPr>
            <w:rStyle w:val="Hyperlink"/>
            <w:noProof/>
          </w:rPr>
          <w:t>1.5.5 CALiPER Application Summary Report 13</w:t>
        </w:r>
        <w:r w:rsidRPr="00170F13">
          <w:rPr>
            <w:rStyle w:val="Hyperlink"/>
            <w:noProof/>
            <w:vertAlign w:val="superscript"/>
          </w:rPr>
          <w:t>5</w:t>
        </w:r>
        <w:r w:rsidRPr="00170F13">
          <w:rPr>
            <w:rStyle w:val="Hyperlink"/>
            <w:noProof/>
          </w:rPr>
          <w:t>:</w:t>
        </w:r>
        <w:r>
          <w:rPr>
            <w:noProof/>
            <w:webHidden/>
          </w:rPr>
          <w:tab/>
        </w:r>
        <w:r>
          <w:rPr>
            <w:noProof/>
            <w:webHidden/>
          </w:rPr>
          <w:fldChar w:fldCharType="begin"/>
        </w:r>
        <w:r>
          <w:rPr>
            <w:noProof/>
            <w:webHidden/>
          </w:rPr>
          <w:instrText xml:space="preserve"> PAGEREF _Toc511244889 \h </w:instrText>
        </w:r>
        <w:r>
          <w:rPr>
            <w:noProof/>
            <w:webHidden/>
          </w:rPr>
        </w:r>
        <w:r>
          <w:rPr>
            <w:noProof/>
            <w:webHidden/>
          </w:rPr>
          <w:fldChar w:fldCharType="separate"/>
        </w:r>
        <w:r>
          <w:rPr>
            <w:noProof/>
            <w:webHidden/>
          </w:rPr>
          <w:t>7</w:t>
        </w:r>
        <w:r>
          <w:rPr>
            <w:noProof/>
            <w:webHidden/>
          </w:rPr>
          <w:fldChar w:fldCharType="end"/>
        </w:r>
      </w:hyperlink>
    </w:p>
    <w:p w14:paraId="5F488C06" w14:textId="1C1E5DC9"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90" w:history="1">
        <w:r w:rsidRPr="00170F13">
          <w:rPr>
            <w:rStyle w:val="Hyperlink"/>
            <w:noProof/>
          </w:rPr>
          <w:t>1.6 Data Quality and Future Data Needs</w:t>
        </w:r>
        <w:r>
          <w:rPr>
            <w:noProof/>
            <w:webHidden/>
          </w:rPr>
          <w:tab/>
        </w:r>
        <w:r>
          <w:rPr>
            <w:noProof/>
            <w:webHidden/>
          </w:rPr>
          <w:fldChar w:fldCharType="begin"/>
        </w:r>
        <w:r>
          <w:rPr>
            <w:noProof/>
            <w:webHidden/>
          </w:rPr>
          <w:instrText xml:space="preserve"> PAGEREF _Toc511244890 \h </w:instrText>
        </w:r>
        <w:r>
          <w:rPr>
            <w:noProof/>
            <w:webHidden/>
          </w:rPr>
        </w:r>
        <w:r>
          <w:rPr>
            <w:noProof/>
            <w:webHidden/>
          </w:rPr>
          <w:fldChar w:fldCharType="separate"/>
        </w:r>
        <w:r>
          <w:rPr>
            <w:noProof/>
            <w:webHidden/>
          </w:rPr>
          <w:t>7</w:t>
        </w:r>
        <w:r>
          <w:rPr>
            <w:noProof/>
            <w:webHidden/>
          </w:rPr>
          <w:fldChar w:fldCharType="end"/>
        </w:r>
      </w:hyperlink>
    </w:p>
    <w:p w14:paraId="7D30AE39" w14:textId="6F118FB8"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1" w:history="1">
        <w:r w:rsidRPr="00170F13">
          <w:rPr>
            <w:rStyle w:val="Hyperlink"/>
            <w:noProof/>
          </w:rPr>
          <w:t>1.6.1 Standard Practice Baseline Studies</w:t>
        </w:r>
        <w:r>
          <w:rPr>
            <w:noProof/>
            <w:webHidden/>
          </w:rPr>
          <w:tab/>
        </w:r>
        <w:r>
          <w:rPr>
            <w:noProof/>
            <w:webHidden/>
          </w:rPr>
          <w:fldChar w:fldCharType="begin"/>
        </w:r>
        <w:r>
          <w:rPr>
            <w:noProof/>
            <w:webHidden/>
          </w:rPr>
          <w:instrText xml:space="preserve"> PAGEREF _Toc511244891 \h </w:instrText>
        </w:r>
        <w:r>
          <w:rPr>
            <w:noProof/>
            <w:webHidden/>
          </w:rPr>
        </w:r>
        <w:r>
          <w:rPr>
            <w:noProof/>
            <w:webHidden/>
          </w:rPr>
          <w:fldChar w:fldCharType="separate"/>
        </w:r>
        <w:r>
          <w:rPr>
            <w:noProof/>
            <w:webHidden/>
          </w:rPr>
          <w:t>7</w:t>
        </w:r>
        <w:r>
          <w:rPr>
            <w:noProof/>
            <w:webHidden/>
          </w:rPr>
          <w:fldChar w:fldCharType="end"/>
        </w:r>
      </w:hyperlink>
    </w:p>
    <w:p w14:paraId="4F98BE10" w14:textId="00389C40"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2" w:history="1">
        <w:r w:rsidRPr="00170F13">
          <w:rPr>
            <w:rStyle w:val="Hyperlink"/>
            <w:noProof/>
          </w:rPr>
          <w:t>1.6.2 Inclusion of Early Retirement (ER)/Accelerated Replacement (AR) Measure Application Type</w:t>
        </w:r>
        <w:r>
          <w:rPr>
            <w:noProof/>
            <w:webHidden/>
          </w:rPr>
          <w:tab/>
        </w:r>
        <w:r>
          <w:rPr>
            <w:noProof/>
            <w:webHidden/>
          </w:rPr>
          <w:fldChar w:fldCharType="begin"/>
        </w:r>
        <w:r>
          <w:rPr>
            <w:noProof/>
            <w:webHidden/>
          </w:rPr>
          <w:instrText xml:space="preserve"> PAGEREF _Toc511244892 \h </w:instrText>
        </w:r>
        <w:r>
          <w:rPr>
            <w:noProof/>
            <w:webHidden/>
          </w:rPr>
        </w:r>
        <w:r>
          <w:rPr>
            <w:noProof/>
            <w:webHidden/>
          </w:rPr>
          <w:fldChar w:fldCharType="separate"/>
        </w:r>
        <w:r>
          <w:rPr>
            <w:noProof/>
            <w:webHidden/>
          </w:rPr>
          <w:t>8</w:t>
        </w:r>
        <w:r>
          <w:rPr>
            <w:noProof/>
            <w:webHidden/>
          </w:rPr>
          <w:fldChar w:fldCharType="end"/>
        </w:r>
      </w:hyperlink>
    </w:p>
    <w:p w14:paraId="31C0414F" w14:textId="160559F8"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3" w:history="1">
        <w:r w:rsidRPr="00170F13">
          <w:rPr>
            <w:rStyle w:val="Hyperlink"/>
            <w:noProof/>
          </w:rPr>
          <w:t>1.6.3 Product ID Collection Process</w:t>
        </w:r>
        <w:r>
          <w:rPr>
            <w:noProof/>
            <w:webHidden/>
          </w:rPr>
          <w:tab/>
        </w:r>
        <w:r>
          <w:rPr>
            <w:noProof/>
            <w:webHidden/>
          </w:rPr>
          <w:fldChar w:fldCharType="begin"/>
        </w:r>
        <w:r>
          <w:rPr>
            <w:noProof/>
            <w:webHidden/>
          </w:rPr>
          <w:instrText xml:space="preserve"> PAGEREF _Toc511244893 \h </w:instrText>
        </w:r>
        <w:r>
          <w:rPr>
            <w:noProof/>
            <w:webHidden/>
          </w:rPr>
        </w:r>
        <w:r>
          <w:rPr>
            <w:noProof/>
            <w:webHidden/>
          </w:rPr>
          <w:fldChar w:fldCharType="separate"/>
        </w:r>
        <w:r>
          <w:rPr>
            <w:noProof/>
            <w:webHidden/>
          </w:rPr>
          <w:t>8</w:t>
        </w:r>
        <w:r>
          <w:rPr>
            <w:noProof/>
            <w:webHidden/>
          </w:rPr>
          <w:fldChar w:fldCharType="end"/>
        </w:r>
      </w:hyperlink>
    </w:p>
    <w:p w14:paraId="379630D7" w14:textId="70736ED0"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4" w:history="1">
        <w:r w:rsidRPr="00170F13">
          <w:rPr>
            <w:rStyle w:val="Hyperlink"/>
            <w:noProof/>
          </w:rPr>
          <w:t>1.6.4 DEER Limitation on Non-linear Functions</w:t>
        </w:r>
        <w:r>
          <w:rPr>
            <w:noProof/>
            <w:webHidden/>
          </w:rPr>
          <w:tab/>
        </w:r>
        <w:r>
          <w:rPr>
            <w:noProof/>
            <w:webHidden/>
          </w:rPr>
          <w:fldChar w:fldCharType="begin"/>
        </w:r>
        <w:r>
          <w:rPr>
            <w:noProof/>
            <w:webHidden/>
          </w:rPr>
          <w:instrText xml:space="preserve"> PAGEREF _Toc511244894 \h </w:instrText>
        </w:r>
        <w:r>
          <w:rPr>
            <w:noProof/>
            <w:webHidden/>
          </w:rPr>
        </w:r>
        <w:r>
          <w:rPr>
            <w:noProof/>
            <w:webHidden/>
          </w:rPr>
          <w:fldChar w:fldCharType="separate"/>
        </w:r>
        <w:r>
          <w:rPr>
            <w:noProof/>
            <w:webHidden/>
          </w:rPr>
          <w:t>8</w:t>
        </w:r>
        <w:r>
          <w:rPr>
            <w:noProof/>
            <w:webHidden/>
          </w:rPr>
          <w:fldChar w:fldCharType="end"/>
        </w:r>
      </w:hyperlink>
    </w:p>
    <w:p w14:paraId="17DC8A57" w14:textId="0DF4EF93"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5" w:history="1">
        <w:r w:rsidRPr="00170F13">
          <w:rPr>
            <w:rStyle w:val="Hyperlink"/>
            <w:noProof/>
          </w:rPr>
          <w:t>1.6.5 Lighting Facts LED Database</w:t>
        </w:r>
        <w:r>
          <w:rPr>
            <w:noProof/>
            <w:webHidden/>
          </w:rPr>
          <w:tab/>
        </w:r>
        <w:r>
          <w:rPr>
            <w:noProof/>
            <w:webHidden/>
          </w:rPr>
          <w:fldChar w:fldCharType="begin"/>
        </w:r>
        <w:r>
          <w:rPr>
            <w:noProof/>
            <w:webHidden/>
          </w:rPr>
          <w:instrText xml:space="preserve"> PAGEREF _Toc511244895 \h </w:instrText>
        </w:r>
        <w:r>
          <w:rPr>
            <w:noProof/>
            <w:webHidden/>
          </w:rPr>
        </w:r>
        <w:r>
          <w:rPr>
            <w:noProof/>
            <w:webHidden/>
          </w:rPr>
          <w:fldChar w:fldCharType="separate"/>
        </w:r>
        <w:r>
          <w:rPr>
            <w:noProof/>
            <w:webHidden/>
          </w:rPr>
          <w:t>8</w:t>
        </w:r>
        <w:r>
          <w:rPr>
            <w:noProof/>
            <w:webHidden/>
          </w:rPr>
          <w:fldChar w:fldCharType="end"/>
        </w:r>
      </w:hyperlink>
    </w:p>
    <w:p w14:paraId="02B3E41B" w14:textId="6CC7E7F3" w:rsidR="00C426D4" w:rsidRDefault="00C426D4">
      <w:pPr>
        <w:pStyle w:val="TOC3"/>
        <w:tabs>
          <w:tab w:val="right" w:leader="dot" w:pos="9350"/>
        </w:tabs>
        <w:rPr>
          <w:rFonts w:asciiTheme="minorHAnsi" w:eastAsiaTheme="minorEastAsia" w:hAnsiTheme="minorHAnsi" w:cstheme="minorBidi"/>
          <w:noProof/>
          <w:sz w:val="22"/>
          <w:szCs w:val="22"/>
        </w:rPr>
      </w:pPr>
      <w:hyperlink w:anchor="_Toc511244896" w:history="1">
        <w:r w:rsidRPr="00170F13">
          <w:rPr>
            <w:rStyle w:val="Hyperlink"/>
            <w:noProof/>
          </w:rPr>
          <w:t>1.6.6 Cost Data Quality</w:t>
        </w:r>
        <w:r>
          <w:rPr>
            <w:noProof/>
            <w:webHidden/>
          </w:rPr>
          <w:tab/>
        </w:r>
        <w:r>
          <w:rPr>
            <w:noProof/>
            <w:webHidden/>
          </w:rPr>
          <w:fldChar w:fldCharType="begin"/>
        </w:r>
        <w:r>
          <w:rPr>
            <w:noProof/>
            <w:webHidden/>
          </w:rPr>
          <w:instrText xml:space="preserve"> PAGEREF _Toc511244896 \h </w:instrText>
        </w:r>
        <w:r>
          <w:rPr>
            <w:noProof/>
            <w:webHidden/>
          </w:rPr>
        </w:r>
        <w:r>
          <w:rPr>
            <w:noProof/>
            <w:webHidden/>
          </w:rPr>
          <w:fldChar w:fldCharType="separate"/>
        </w:r>
        <w:r>
          <w:rPr>
            <w:noProof/>
            <w:webHidden/>
          </w:rPr>
          <w:t>9</w:t>
        </w:r>
        <w:r>
          <w:rPr>
            <w:noProof/>
            <w:webHidden/>
          </w:rPr>
          <w:fldChar w:fldCharType="end"/>
        </w:r>
      </w:hyperlink>
    </w:p>
    <w:p w14:paraId="4A4291A3" w14:textId="57506E1C"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897" w:history="1">
        <w:r w:rsidRPr="00170F13">
          <w:rPr>
            <w:rStyle w:val="Hyperlink"/>
            <w:noProof/>
          </w:rPr>
          <w:t>Section 2 Calculation Methods</w:t>
        </w:r>
        <w:r>
          <w:rPr>
            <w:noProof/>
            <w:webHidden/>
          </w:rPr>
          <w:tab/>
        </w:r>
        <w:r>
          <w:rPr>
            <w:noProof/>
            <w:webHidden/>
          </w:rPr>
          <w:fldChar w:fldCharType="begin"/>
        </w:r>
        <w:r>
          <w:rPr>
            <w:noProof/>
            <w:webHidden/>
          </w:rPr>
          <w:instrText xml:space="preserve"> PAGEREF _Toc511244897 \h </w:instrText>
        </w:r>
        <w:r>
          <w:rPr>
            <w:noProof/>
            <w:webHidden/>
          </w:rPr>
        </w:r>
        <w:r>
          <w:rPr>
            <w:noProof/>
            <w:webHidden/>
          </w:rPr>
          <w:fldChar w:fldCharType="separate"/>
        </w:r>
        <w:r>
          <w:rPr>
            <w:noProof/>
            <w:webHidden/>
          </w:rPr>
          <w:t>10</w:t>
        </w:r>
        <w:r>
          <w:rPr>
            <w:noProof/>
            <w:webHidden/>
          </w:rPr>
          <w:fldChar w:fldCharType="end"/>
        </w:r>
      </w:hyperlink>
    </w:p>
    <w:p w14:paraId="76D9EC09" w14:textId="0CE44499"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98" w:history="1">
        <w:r w:rsidRPr="00170F13">
          <w:rPr>
            <w:rStyle w:val="Hyperlink"/>
            <w:noProof/>
          </w:rPr>
          <w:t>2.1 Electric Energy Savings Estimation Methodologies</w:t>
        </w:r>
        <w:r>
          <w:rPr>
            <w:noProof/>
            <w:webHidden/>
          </w:rPr>
          <w:tab/>
        </w:r>
        <w:r>
          <w:rPr>
            <w:noProof/>
            <w:webHidden/>
          </w:rPr>
          <w:fldChar w:fldCharType="begin"/>
        </w:r>
        <w:r>
          <w:rPr>
            <w:noProof/>
            <w:webHidden/>
          </w:rPr>
          <w:instrText xml:space="preserve"> PAGEREF _Toc511244898 \h </w:instrText>
        </w:r>
        <w:r>
          <w:rPr>
            <w:noProof/>
            <w:webHidden/>
          </w:rPr>
        </w:r>
        <w:r>
          <w:rPr>
            <w:noProof/>
            <w:webHidden/>
          </w:rPr>
          <w:fldChar w:fldCharType="separate"/>
        </w:r>
        <w:r>
          <w:rPr>
            <w:noProof/>
            <w:webHidden/>
          </w:rPr>
          <w:t>18</w:t>
        </w:r>
        <w:r>
          <w:rPr>
            <w:noProof/>
            <w:webHidden/>
          </w:rPr>
          <w:fldChar w:fldCharType="end"/>
        </w:r>
      </w:hyperlink>
    </w:p>
    <w:p w14:paraId="2141139A" w14:textId="37032AA8"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899" w:history="1">
        <w:r w:rsidRPr="00170F13">
          <w:rPr>
            <w:rStyle w:val="Hyperlink"/>
            <w:noProof/>
          </w:rPr>
          <w:t>2.2 Demand Reduction Estimation Methodologies</w:t>
        </w:r>
        <w:r>
          <w:rPr>
            <w:noProof/>
            <w:webHidden/>
          </w:rPr>
          <w:tab/>
        </w:r>
        <w:r>
          <w:rPr>
            <w:noProof/>
            <w:webHidden/>
          </w:rPr>
          <w:fldChar w:fldCharType="begin"/>
        </w:r>
        <w:r>
          <w:rPr>
            <w:noProof/>
            <w:webHidden/>
          </w:rPr>
          <w:instrText xml:space="preserve"> PAGEREF _Toc511244899 \h </w:instrText>
        </w:r>
        <w:r>
          <w:rPr>
            <w:noProof/>
            <w:webHidden/>
          </w:rPr>
        </w:r>
        <w:r>
          <w:rPr>
            <w:noProof/>
            <w:webHidden/>
          </w:rPr>
          <w:fldChar w:fldCharType="separate"/>
        </w:r>
        <w:r>
          <w:rPr>
            <w:noProof/>
            <w:webHidden/>
          </w:rPr>
          <w:t>19</w:t>
        </w:r>
        <w:r>
          <w:rPr>
            <w:noProof/>
            <w:webHidden/>
          </w:rPr>
          <w:fldChar w:fldCharType="end"/>
        </w:r>
      </w:hyperlink>
    </w:p>
    <w:p w14:paraId="5899B803" w14:textId="336C1BE5"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900" w:history="1">
        <w:r w:rsidRPr="00170F13">
          <w:rPr>
            <w:rStyle w:val="Hyperlink"/>
            <w:noProof/>
          </w:rPr>
          <w:t>2.3 Gas Energy Savings Estimation Methodologies</w:t>
        </w:r>
        <w:r>
          <w:rPr>
            <w:noProof/>
            <w:webHidden/>
          </w:rPr>
          <w:tab/>
        </w:r>
        <w:r>
          <w:rPr>
            <w:noProof/>
            <w:webHidden/>
          </w:rPr>
          <w:fldChar w:fldCharType="begin"/>
        </w:r>
        <w:r>
          <w:rPr>
            <w:noProof/>
            <w:webHidden/>
          </w:rPr>
          <w:instrText xml:space="preserve"> PAGEREF _Toc511244900 \h </w:instrText>
        </w:r>
        <w:r>
          <w:rPr>
            <w:noProof/>
            <w:webHidden/>
          </w:rPr>
        </w:r>
        <w:r>
          <w:rPr>
            <w:noProof/>
            <w:webHidden/>
          </w:rPr>
          <w:fldChar w:fldCharType="separate"/>
        </w:r>
        <w:r>
          <w:rPr>
            <w:noProof/>
            <w:webHidden/>
          </w:rPr>
          <w:t>19</w:t>
        </w:r>
        <w:r>
          <w:rPr>
            <w:noProof/>
            <w:webHidden/>
          </w:rPr>
          <w:fldChar w:fldCharType="end"/>
        </w:r>
      </w:hyperlink>
    </w:p>
    <w:p w14:paraId="1C35265B" w14:textId="2D7C45D7"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901" w:history="1">
        <w:r w:rsidRPr="00170F13">
          <w:rPr>
            <w:rStyle w:val="Hyperlink"/>
            <w:noProof/>
          </w:rPr>
          <w:t>Section 3 Load Shapes</w:t>
        </w:r>
        <w:r>
          <w:rPr>
            <w:noProof/>
            <w:webHidden/>
          </w:rPr>
          <w:tab/>
        </w:r>
        <w:r>
          <w:rPr>
            <w:noProof/>
            <w:webHidden/>
          </w:rPr>
          <w:fldChar w:fldCharType="begin"/>
        </w:r>
        <w:r>
          <w:rPr>
            <w:noProof/>
            <w:webHidden/>
          </w:rPr>
          <w:instrText xml:space="preserve"> PAGEREF _Toc511244901 \h </w:instrText>
        </w:r>
        <w:r>
          <w:rPr>
            <w:noProof/>
            <w:webHidden/>
          </w:rPr>
        </w:r>
        <w:r>
          <w:rPr>
            <w:noProof/>
            <w:webHidden/>
          </w:rPr>
          <w:fldChar w:fldCharType="separate"/>
        </w:r>
        <w:r>
          <w:rPr>
            <w:noProof/>
            <w:webHidden/>
          </w:rPr>
          <w:t>20</w:t>
        </w:r>
        <w:r>
          <w:rPr>
            <w:noProof/>
            <w:webHidden/>
          </w:rPr>
          <w:fldChar w:fldCharType="end"/>
        </w:r>
      </w:hyperlink>
    </w:p>
    <w:p w14:paraId="3E0D2DAD" w14:textId="7C4A689E"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902" w:history="1">
        <w:r w:rsidRPr="00170F13">
          <w:rPr>
            <w:rStyle w:val="Hyperlink"/>
            <w:noProof/>
          </w:rPr>
          <w:t>3.1 Base Case Load Shapes</w:t>
        </w:r>
        <w:r>
          <w:rPr>
            <w:noProof/>
            <w:webHidden/>
          </w:rPr>
          <w:tab/>
        </w:r>
        <w:r>
          <w:rPr>
            <w:noProof/>
            <w:webHidden/>
          </w:rPr>
          <w:fldChar w:fldCharType="begin"/>
        </w:r>
        <w:r>
          <w:rPr>
            <w:noProof/>
            <w:webHidden/>
          </w:rPr>
          <w:instrText xml:space="preserve"> PAGEREF _Toc511244902 \h </w:instrText>
        </w:r>
        <w:r>
          <w:rPr>
            <w:noProof/>
            <w:webHidden/>
          </w:rPr>
        </w:r>
        <w:r>
          <w:rPr>
            <w:noProof/>
            <w:webHidden/>
          </w:rPr>
          <w:fldChar w:fldCharType="separate"/>
        </w:r>
        <w:r>
          <w:rPr>
            <w:noProof/>
            <w:webHidden/>
          </w:rPr>
          <w:t>20</w:t>
        </w:r>
        <w:r>
          <w:rPr>
            <w:noProof/>
            <w:webHidden/>
          </w:rPr>
          <w:fldChar w:fldCharType="end"/>
        </w:r>
      </w:hyperlink>
    </w:p>
    <w:p w14:paraId="1A9E1DAB" w14:textId="788DBF84"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903" w:history="1">
        <w:r w:rsidRPr="00170F13">
          <w:rPr>
            <w:rStyle w:val="Hyperlink"/>
            <w:noProof/>
          </w:rPr>
          <w:t>3.2 Measure Load Shapes</w:t>
        </w:r>
        <w:r>
          <w:rPr>
            <w:noProof/>
            <w:webHidden/>
          </w:rPr>
          <w:tab/>
        </w:r>
        <w:r>
          <w:rPr>
            <w:noProof/>
            <w:webHidden/>
          </w:rPr>
          <w:fldChar w:fldCharType="begin"/>
        </w:r>
        <w:r>
          <w:rPr>
            <w:noProof/>
            <w:webHidden/>
          </w:rPr>
          <w:instrText xml:space="preserve"> PAGEREF _Toc511244903 \h </w:instrText>
        </w:r>
        <w:r>
          <w:rPr>
            <w:noProof/>
            <w:webHidden/>
          </w:rPr>
        </w:r>
        <w:r>
          <w:rPr>
            <w:noProof/>
            <w:webHidden/>
          </w:rPr>
          <w:fldChar w:fldCharType="separate"/>
        </w:r>
        <w:r>
          <w:rPr>
            <w:noProof/>
            <w:webHidden/>
          </w:rPr>
          <w:t>20</w:t>
        </w:r>
        <w:r>
          <w:rPr>
            <w:noProof/>
            <w:webHidden/>
          </w:rPr>
          <w:fldChar w:fldCharType="end"/>
        </w:r>
      </w:hyperlink>
    </w:p>
    <w:p w14:paraId="3EE4D81A" w14:textId="71430E6F"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904" w:history="1">
        <w:r w:rsidRPr="00170F13">
          <w:rPr>
            <w:rStyle w:val="Hyperlink"/>
            <w:noProof/>
          </w:rPr>
          <w:t>Section 4 Base Case &amp; Measure Costs</w:t>
        </w:r>
        <w:r>
          <w:rPr>
            <w:noProof/>
            <w:webHidden/>
          </w:rPr>
          <w:tab/>
        </w:r>
        <w:r>
          <w:rPr>
            <w:noProof/>
            <w:webHidden/>
          </w:rPr>
          <w:fldChar w:fldCharType="begin"/>
        </w:r>
        <w:r>
          <w:rPr>
            <w:noProof/>
            <w:webHidden/>
          </w:rPr>
          <w:instrText xml:space="preserve"> PAGEREF _Toc511244904 \h </w:instrText>
        </w:r>
        <w:r>
          <w:rPr>
            <w:noProof/>
            <w:webHidden/>
          </w:rPr>
        </w:r>
        <w:r>
          <w:rPr>
            <w:noProof/>
            <w:webHidden/>
          </w:rPr>
          <w:fldChar w:fldCharType="separate"/>
        </w:r>
        <w:r>
          <w:rPr>
            <w:noProof/>
            <w:webHidden/>
          </w:rPr>
          <w:t>20</w:t>
        </w:r>
        <w:r>
          <w:rPr>
            <w:noProof/>
            <w:webHidden/>
          </w:rPr>
          <w:fldChar w:fldCharType="end"/>
        </w:r>
      </w:hyperlink>
    </w:p>
    <w:p w14:paraId="6C433303" w14:textId="7C9B5790"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905" w:history="1">
        <w:r w:rsidRPr="00170F13">
          <w:rPr>
            <w:rStyle w:val="Hyperlink"/>
            <w:noProof/>
          </w:rPr>
          <w:t>4.1 Base Case Costs</w:t>
        </w:r>
        <w:r>
          <w:rPr>
            <w:noProof/>
            <w:webHidden/>
          </w:rPr>
          <w:tab/>
        </w:r>
        <w:r>
          <w:rPr>
            <w:noProof/>
            <w:webHidden/>
          </w:rPr>
          <w:fldChar w:fldCharType="begin"/>
        </w:r>
        <w:r>
          <w:rPr>
            <w:noProof/>
            <w:webHidden/>
          </w:rPr>
          <w:instrText xml:space="preserve"> PAGEREF _Toc511244905 \h </w:instrText>
        </w:r>
        <w:r>
          <w:rPr>
            <w:noProof/>
            <w:webHidden/>
          </w:rPr>
        </w:r>
        <w:r>
          <w:rPr>
            <w:noProof/>
            <w:webHidden/>
          </w:rPr>
          <w:fldChar w:fldCharType="separate"/>
        </w:r>
        <w:r>
          <w:rPr>
            <w:noProof/>
            <w:webHidden/>
          </w:rPr>
          <w:t>21</w:t>
        </w:r>
        <w:r>
          <w:rPr>
            <w:noProof/>
            <w:webHidden/>
          </w:rPr>
          <w:fldChar w:fldCharType="end"/>
        </w:r>
      </w:hyperlink>
    </w:p>
    <w:p w14:paraId="6908E490" w14:textId="42905485" w:rsidR="00C426D4" w:rsidRDefault="00C426D4">
      <w:pPr>
        <w:pStyle w:val="TOC2"/>
        <w:tabs>
          <w:tab w:val="right" w:leader="dot" w:pos="9350"/>
        </w:tabs>
        <w:rPr>
          <w:rFonts w:asciiTheme="minorHAnsi" w:eastAsiaTheme="minorEastAsia" w:hAnsiTheme="minorHAnsi" w:cstheme="minorBidi"/>
          <w:noProof/>
          <w:sz w:val="22"/>
          <w:szCs w:val="22"/>
        </w:rPr>
      </w:pPr>
      <w:hyperlink w:anchor="_Toc511244906" w:history="1">
        <w:r w:rsidRPr="00170F13">
          <w:rPr>
            <w:rStyle w:val="Hyperlink"/>
            <w:noProof/>
          </w:rPr>
          <w:t>4.2 Measure Case Costs</w:t>
        </w:r>
        <w:r>
          <w:rPr>
            <w:noProof/>
            <w:webHidden/>
          </w:rPr>
          <w:tab/>
        </w:r>
        <w:r>
          <w:rPr>
            <w:noProof/>
            <w:webHidden/>
          </w:rPr>
          <w:fldChar w:fldCharType="begin"/>
        </w:r>
        <w:r>
          <w:rPr>
            <w:noProof/>
            <w:webHidden/>
          </w:rPr>
          <w:instrText xml:space="preserve"> PAGEREF _Toc511244906 \h </w:instrText>
        </w:r>
        <w:r>
          <w:rPr>
            <w:noProof/>
            <w:webHidden/>
          </w:rPr>
        </w:r>
        <w:r>
          <w:rPr>
            <w:noProof/>
            <w:webHidden/>
          </w:rPr>
          <w:fldChar w:fldCharType="separate"/>
        </w:r>
        <w:r>
          <w:rPr>
            <w:noProof/>
            <w:webHidden/>
          </w:rPr>
          <w:t>21</w:t>
        </w:r>
        <w:r>
          <w:rPr>
            <w:noProof/>
            <w:webHidden/>
          </w:rPr>
          <w:fldChar w:fldCharType="end"/>
        </w:r>
      </w:hyperlink>
    </w:p>
    <w:p w14:paraId="15354680" w14:textId="56D48627" w:rsidR="00C426D4" w:rsidRDefault="00C426D4">
      <w:pPr>
        <w:pStyle w:val="TOC2"/>
        <w:tabs>
          <w:tab w:val="left" w:pos="880"/>
          <w:tab w:val="right" w:leader="dot" w:pos="9350"/>
        </w:tabs>
        <w:rPr>
          <w:rFonts w:asciiTheme="minorHAnsi" w:eastAsiaTheme="minorEastAsia" w:hAnsiTheme="minorHAnsi" w:cstheme="minorBidi"/>
          <w:noProof/>
          <w:sz w:val="22"/>
          <w:szCs w:val="22"/>
        </w:rPr>
      </w:pPr>
      <w:hyperlink w:anchor="_Toc511244907" w:history="1">
        <w:r w:rsidRPr="00170F13">
          <w:rPr>
            <w:rStyle w:val="Hyperlink"/>
            <w:noProof/>
          </w:rPr>
          <w:t>4.3</w:t>
        </w:r>
        <w:r>
          <w:rPr>
            <w:rFonts w:asciiTheme="minorHAnsi" w:eastAsiaTheme="minorEastAsia" w:hAnsiTheme="minorHAnsi" w:cstheme="minorBidi"/>
            <w:noProof/>
            <w:sz w:val="22"/>
            <w:szCs w:val="22"/>
          </w:rPr>
          <w:tab/>
        </w:r>
        <w:r w:rsidRPr="00170F13">
          <w:rPr>
            <w:rStyle w:val="Hyperlink"/>
            <w:noProof/>
          </w:rPr>
          <w:t>Incremental &amp; Full Measure Costs</w:t>
        </w:r>
        <w:r>
          <w:rPr>
            <w:noProof/>
            <w:webHidden/>
          </w:rPr>
          <w:tab/>
        </w:r>
        <w:r>
          <w:rPr>
            <w:noProof/>
            <w:webHidden/>
          </w:rPr>
          <w:fldChar w:fldCharType="begin"/>
        </w:r>
        <w:r>
          <w:rPr>
            <w:noProof/>
            <w:webHidden/>
          </w:rPr>
          <w:instrText xml:space="preserve"> PAGEREF _Toc511244907 \h </w:instrText>
        </w:r>
        <w:r>
          <w:rPr>
            <w:noProof/>
            <w:webHidden/>
          </w:rPr>
        </w:r>
        <w:r>
          <w:rPr>
            <w:noProof/>
            <w:webHidden/>
          </w:rPr>
          <w:fldChar w:fldCharType="separate"/>
        </w:r>
        <w:r>
          <w:rPr>
            <w:noProof/>
            <w:webHidden/>
          </w:rPr>
          <w:t>22</w:t>
        </w:r>
        <w:r>
          <w:rPr>
            <w:noProof/>
            <w:webHidden/>
          </w:rPr>
          <w:fldChar w:fldCharType="end"/>
        </w:r>
      </w:hyperlink>
    </w:p>
    <w:p w14:paraId="37DE5C57" w14:textId="0D1A318E"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908" w:history="1">
        <w:r w:rsidRPr="00170F13">
          <w:rPr>
            <w:rStyle w:val="Hyperlink"/>
            <w:noProof/>
          </w:rPr>
          <w:t>Attachments</w:t>
        </w:r>
        <w:r>
          <w:rPr>
            <w:noProof/>
            <w:webHidden/>
          </w:rPr>
          <w:tab/>
        </w:r>
        <w:r>
          <w:rPr>
            <w:noProof/>
            <w:webHidden/>
          </w:rPr>
          <w:fldChar w:fldCharType="begin"/>
        </w:r>
        <w:r>
          <w:rPr>
            <w:noProof/>
            <w:webHidden/>
          </w:rPr>
          <w:instrText xml:space="preserve"> PAGEREF _Toc511244908 \h </w:instrText>
        </w:r>
        <w:r>
          <w:rPr>
            <w:noProof/>
            <w:webHidden/>
          </w:rPr>
        </w:r>
        <w:r>
          <w:rPr>
            <w:noProof/>
            <w:webHidden/>
          </w:rPr>
          <w:fldChar w:fldCharType="separate"/>
        </w:r>
        <w:r>
          <w:rPr>
            <w:noProof/>
            <w:webHidden/>
          </w:rPr>
          <w:t>23</w:t>
        </w:r>
        <w:r>
          <w:rPr>
            <w:noProof/>
            <w:webHidden/>
          </w:rPr>
          <w:fldChar w:fldCharType="end"/>
        </w:r>
      </w:hyperlink>
    </w:p>
    <w:p w14:paraId="68894627" w14:textId="46797579" w:rsidR="00C426D4" w:rsidRDefault="00C426D4">
      <w:pPr>
        <w:pStyle w:val="TOC1"/>
        <w:tabs>
          <w:tab w:val="right" w:leader="dot" w:pos="9350"/>
        </w:tabs>
        <w:rPr>
          <w:rFonts w:asciiTheme="minorHAnsi" w:eastAsiaTheme="minorEastAsia" w:hAnsiTheme="minorHAnsi" w:cstheme="minorBidi"/>
          <w:noProof/>
          <w:sz w:val="22"/>
          <w:szCs w:val="22"/>
        </w:rPr>
      </w:pPr>
      <w:hyperlink w:anchor="_Toc511244909" w:history="1">
        <w:r w:rsidRPr="00170F13">
          <w:rPr>
            <w:rStyle w:val="Hyperlink"/>
            <w:noProof/>
          </w:rPr>
          <w:t>References</w:t>
        </w:r>
        <w:r>
          <w:rPr>
            <w:noProof/>
            <w:webHidden/>
          </w:rPr>
          <w:tab/>
        </w:r>
        <w:r>
          <w:rPr>
            <w:noProof/>
            <w:webHidden/>
          </w:rPr>
          <w:fldChar w:fldCharType="begin"/>
        </w:r>
        <w:r>
          <w:rPr>
            <w:noProof/>
            <w:webHidden/>
          </w:rPr>
          <w:instrText xml:space="preserve"> PAGEREF _Toc511244909 \h </w:instrText>
        </w:r>
        <w:r>
          <w:rPr>
            <w:noProof/>
            <w:webHidden/>
          </w:rPr>
        </w:r>
        <w:r>
          <w:rPr>
            <w:noProof/>
            <w:webHidden/>
          </w:rPr>
          <w:fldChar w:fldCharType="separate"/>
        </w:r>
        <w:r>
          <w:rPr>
            <w:noProof/>
            <w:webHidden/>
          </w:rPr>
          <w:t>24</w:t>
        </w:r>
        <w:r>
          <w:rPr>
            <w:noProof/>
            <w:webHidden/>
          </w:rPr>
          <w:fldChar w:fldCharType="end"/>
        </w:r>
      </w:hyperlink>
    </w:p>
    <w:p w14:paraId="0BA631C8" w14:textId="7EE1C0A7" w:rsidR="00ED21EE" w:rsidRDefault="009F6F8B" w:rsidP="00ED21EE">
      <w:pPr>
        <w:pStyle w:val="Heading1"/>
      </w:pPr>
      <w:r w:rsidRPr="1AA8F051">
        <w:fldChar w:fldCharType="end"/>
      </w:r>
      <w:bookmarkStart w:id="11" w:name="_Toc172205729"/>
      <w:bookmarkStart w:id="12" w:name="_Toc511038024"/>
      <w:bookmarkStart w:id="13" w:name="_Toc511244875"/>
      <w:r w:rsidR="00ED21EE">
        <w:t>List of Tables</w:t>
      </w:r>
      <w:bookmarkEnd w:id="11"/>
      <w:bookmarkEnd w:id="12"/>
      <w:bookmarkEnd w:id="13"/>
    </w:p>
    <w:p w14:paraId="51B99E26" w14:textId="60AFF111" w:rsidR="00C426D4" w:rsidRPr="00C426D4" w:rsidRDefault="00A57045">
      <w:pPr>
        <w:pStyle w:val="TableofFigures"/>
        <w:tabs>
          <w:tab w:val="right" w:leader="dot" w:pos="9350"/>
        </w:tabs>
        <w:rPr>
          <w:rFonts w:eastAsiaTheme="minorEastAsia"/>
          <w:noProof/>
          <w:sz w:val="22"/>
          <w:szCs w:val="22"/>
        </w:rPr>
      </w:pPr>
      <w:r w:rsidRPr="002C3514">
        <w:fldChar w:fldCharType="begin"/>
      </w:r>
      <w:r w:rsidRPr="002C3514">
        <w:instrText xml:space="preserve"> TOC \h \z \c "Table" </w:instrText>
      </w:r>
      <w:r w:rsidRPr="002C3514">
        <w:fldChar w:fldCharType="separate"/>
      </w:r>
      <w:hyperlink w:anchor="_Toc511244910" w:history="1">
        <w:r w:rsidR="00C426D4" w:rsidRPr="00C426D4">
          <w:rPr>
            <w:rStyle w:val="Hyperlink"/>
            <w:noProof/>
          </w:rPr>
          <w:t>Table 1 - LED High-Bay and Low-Bay Fixtures Base and Measure Wattages</w:t>
        </w:r>
        <w:r w:rsidR="00C426D4" w:rsidRPr="00C426D4">
          <w:rPr>
            <w:noProof/>
            <w:webHidden/>
          </w:rPr>
          <w:tab/>
        </w:r>
        <w:r w:rsidR="00C426D4" w:rsidRPr="00C426D4">
          <w:rPr>
            <w:noProof/>
            <w:webHidden/>
          </w:rPr>
          <w:fldChar w:fldCharType="begin"/>
        </w:r>
        <w:r w:rsidR="00C426D4" w:rsidRPr="00C426D4">
          <w:rPr>
            <w:noProof/>
            <w:webHidden/>
          </w:rPr>
          <w:instrText xml:space="preserve"> PAGEREF _Toc511244910 \h </w:instrText>
        </w:r>
        <w:r w:rsidR="00C426D4" w:rsidRPr="00C426D4">
          <w:rPr>
            <w:noProof/>
            <w:webHidden/>
          </w:rPr>
        </w:r>
        <w:r w:rsidR="00C426D4" w:rsidRPr="00C426D4">
          <w:rPr>
            <w:noProof/>
            <w:webHidden/>
          </w:rPr>
          <w:fldChar w:fldCharType="separate"/>
        </w:r>
        <w:r w:rsidR="00C426D4" w:rsidRPr="00C426D4">
          <w:rPr>
            <w:noProof/>
            <w:webHidden/>
          </w:rPr>
          <w:t>3</w:t>
        </w:r>
        <w:r w:rsidR="00C426D4" w:rsidRPr="00C426D4">
          <w:rPr>
            <w:noProof/>
            <w:webHidden/>
          </w:rPr>
          <w:fldChar w:fldCharType="end"/>
        </w:r>
      </w:hyperlink>
    </w:p>
    <w:p w14:paraId="58F4ECFF" w14:textId="37948DCA" w:rsidR="00C426D4" w:rsidRPr="00C426D4" w:rsidRDefault="00C426D4">
      <w:pPr>
        <w:pStyle w:val="TableofFigures"/>
        <w:tabs>
          <w:tab w:val="right" w:leader="dot" w:pos="9350"/>
        </w:tabs>
        <w:rPr>
          <w:rFonts w:eastAsiaTheme="minorEastAsia"/>
          <w:noProof/>
          <w:sz w:val="22"/>
          <w:szCs w:val="22"/>
        </w:rPr>
      </w:pPr>
      <w:hyperlink w:anchor="_Toc511244911" w:history="1">
        <w:r w:rsidRPr="00C426D4">
          <w:rPr>
            <w:rStyle w:val="Hyperlink"/>
            <w:noProof/>
          </w:rPr>
          <w:t>Table 2 - Measure Application Type</w:t>
        </w:r>
        <w:r w:rsidRPr="00C426D4">
          <w:rPr>
            <w:noProof/>
            <w:webHidden/>
          </w:rPr>
          <w:tab/>
        </w:r>
        <w:r w:rsidRPr="00C426D4">
          <w:rPr>
            <w:noProof/>
            <w:webHidden/>
          </w:rPr>
          <w:fldChar w:fldCharType="begin"/>
        </w:r>
        <w:r w:rsidRPr="00C426D4">
          <w:rPr>
            <w:noProof/>
            <w:webHidden/>
          </w:rPr>
          <w:instrText xml:space="preserve"> PAGEREF _Toc511244911 \h </w:instrText>
        </w:r>
        <w:r w:rsidRPr="00C426D4">
          <w:rPr>
            <w:noProof/>
            <w:webHidden/>
          </w:rPr>
        </w:r>
        <w:r w:rsidRPr="00C426D4">
          <w:rPr>
            <w:noProof/>
            <w:webHidden/>
          </w:rPr>
          <w:fldChar w:fldCharType="separate"/>
        </w:r>
        <w:r w:rsidRPr="00C426D4">
          <w:rPr>
            <w:noProof/>
            <w:webHidden/>
          </w:rPr>
          <w:t>5</w:t>
        </w:r>
        <w:r w:rsidRPr="00C426D4">
          <w:rPr>
            <w:noProof/>
            <w:webHidden/>
          </w:rPr>
          <w:fldChar w:fldCharType="end"/>
        </w:r>
      </w:hyperlink>
    </w:p>
    <w:p w14:paraId="4734E0A2" w14:textId="74F901F0" w:rsidR="00C426D4" w:rsidRPr="00C426D4" w:rsidRDefault="00C426D4">
      <w:pPr>
        <w:pStyle w:val="TableofFigures"/>
        <w:tabs>
          <w:tab w:val="right" w:leader="dot" w:pos="9350"/>
        </w:tabs>
        <w:rPr>
          <w:rFonts w:eastAsiaTheme="minorEastAsia"/>
          <w:noProof/>
          <w:sz w:val="22"/>
          <w:szCs w:val="22"/>
        </w:rPr>
      </w:pPr>
      <w:hyperlink w:anchor="_Toc511244912" w:history="1">
        <w:r w:rsidRPr="00C426D4">
          <w:rPr>
            <w:rStyle w:val="Hyperlink"/>
            <w:noProof/>
          </w:rPr>
          <w:t>Table 3 – Breakdown of ROB vs NC Measure Application Types for 2016, 2017, and All Program Years</w:t>
        </w:r>
        <w:r w:rsidRPr="00C426D4">
          <w:rPr>
            <w:noProof/>
            <w:webHidden/>
          </w:rPr>
          <w:tab/>
        </w:r>
        <w:r w:rsidRPr="00C426D4">
          <w:rPr>
            <w:noProof/>
            <w:webHidden/>
          </w:rPr>
          <w:fldChar w:fldCharType="begin"/>
        </w:r>
        <w:r w:rsidRPr="00C426D4">
          <w:rPr>
            <w:noProof/>
            <w:webHidden/>
          </w:rPr>
          <w:instrText xml:space="preserve"> PAGEREF _Toc511244912 \h </w:instrText>
        </w:r>
        <w:r w:rsidRPr="00C426D4">
          <w:rPr>
            <w:noProof/>
            <w:webHidden/>
          </w:rPr>
        </w:r>
        <w:r w:rsidRPr="00C426D4">
          <w:rPr>
            <w:noProof/>
            <w:webHidden/>
          </w:rPr>
          <w:fldChar w:fldCharType="separate"/>
        </w:r>
        <w:r w:rsidRPr="00C426D4">
          <w:rPr>
            <w:noProof/>
            <w:webHidden/>
          </w:rPr>
          <w:t>5</w:t>
        </w:r>
        <w:r w:rsidRPr="00C426D4">
          <w:rPr>
            <w:noProof/>
            <w:webHidden/>
          </w:rPr>
          <w:fldChar w:fldCharType="end"/>
        </w:r>
      </w:hyperlink>
    </w:p>
    <w:p w14:paraId="529A7334" w14:textId="5BC7DD86" w:rsidR="00C426D4" w:rsidRPr="00C426D4" w:rsidRDefault="00C426D4">
      <w:pPr>
        <w:pStyle w:val="TableofFigures"/>
        <w:tabs>
          <w:tab w:val="right" w:leader="dot" w:pos="9350"/>
        </w:tabs>
        <w:rPr>
          <w:rFonts w:eastAsiaTheme="minorEastAsia"/>
          <w:noProof/>
          <w:sz w:val="22"/>
          <w:szCs w:val="22"/>
        </w:rPr>
      </w:pPr>
      <w:hyperlink w:anchor="_Toc511244913" w:history="1">
        <w:r w:rsidRPr="00C426D4">
          <w:rPr>
            <w:rStyle w:val="Hyperlink"/>
            <w:noProof/>
          </w:rPr>
          <w:t>Table 4 - Delivery Method and Applicable Building Types</w:t>
        </w:r>
        <w:r w:rsidRPr="00C426D4">
          <w:rPr>
            <w:noProof/>
            <w:webHidden/>
          </w:rPr>
          <w:tab/>
        </w:r>
        <w:r w:rsidRPr="00C426D4">
          <w:rPr>
            <w:noProof/>
            <w:webHidden/>
          </w:rPr>
          <w:fldChar w:fldCharType="begin"/>
        </w:r>
        <w:r w:rsidRPr="00C426D4">
          <w:rPr>
            <w:noProof/>
            <w:webHidden/>
          </w:rPr>
          <w:instrText xml:space="preserve"> PAGEREF _Toc511244913 \h </w:instrText>
        </w:r>
        <w:r w:rsidRPr="00C426D4">
          <w:rPr>
            <w:noProof/>
            <w:webHidden/>
          </w:rPr>
        </w:r>
        <w:r w:rsidRPr="00C426D4">
          <w:rPr>
            <w:noProof/>
            <w:webHidden/>
          </w:rPr>
          <w:fldChar w:fldCharType="separate"/>
        </w:r>
        <w:r w:rsidRPr="00C426D4">
          <w:rPr>
            <w:noProof/>
            <w:webHidden/>
          </w:rPr>
          <w:t>5</w:t>
        </w:r>
        <w:r w:rsidRPr="00C426D4">
          <w:rPr>
            <w:noProof/>
            <w:webHidden/>
          </w:rPr>
          <w:fldChar w:fldCharType="end"/>
        </w:r>
      </w:hyperlink>
    </w:p>
    <w:p w14:paraId="0A426F41" w14:textId="7D621552" w:rsidR="00C426D4" w:rsidRPr="00C426D4" w:rsidRDefault="00C426D4">
      <w:pPr>
        <w:pStyle w:val="TableofFigures"/>
        <w:tabs>
          <w:tab w:val="right" w:leader="dot" w:pos="9350"/>
        </w:tabs>
        <w:rPr>
          <w:rFonts w:eastAsiaTheme="minorEastAsia"/>
          <w:noProof/>
          <w:sz w:val="22"/>
          <w:szCs w:val="22"/>
        </w:rPr>
      </w:pPr>
      <w:hyperlink w:anchor="_Toc511244914" w:history="1">
        <w:r w:rsidRPr="00C426D4">
          <w:rPr>
            <w:rStyle w:val="Hyperlink"/>
            <w:noProof/>
          </w:rPr>
          <w:t>Table 5 – DEER Difference Summary</w:t>
        </w:r>
        <w:r w:rsidRPr="00C426D4">
          <w:rPr>
            <w:noProof/>
            <w:webHidden/>
          </w:rPr>
          <w:tab/>
        </w:r>
        <w:r w:rsidRPr="00C426D4">
          <w:rPr>
            <w:noProof/>
            <w:webHidden/>
          </w:rPr>
          <w:fldChar w:fldCharType="begin"/>
        </w:r>
        <w:r w:rsidRPr="00C426D4">
          <w:rPr>
            <w:noProof/>
            <w:webHidden/>
          </w:rPr>
          <w:instrText xml:space="preserve"> PAGEREF _Toc511244914 \h </w:instrText>
        </w:r>
        <w:r w:rsidRPr="00C426D4">
          <w:rPr>
            <w:noProof/>
            <w:webHidden/>
          </w:rPr>
        </w:r>
        <w:r w:rsidRPr="00C426D4">
          <w:rPr>
            <w:noProof/>
            <w:webHidden/>
          </w:rPr>
          <w:fldChar w:fldCharType="separate"/>
        </w:r>
        <w:r w:rsidRPr="00C426D4">
          <w:rPr>
            <w:noProof/>
            <w:webHidden/>
          </w:rPr>
          <w:t>6</w:t>
        </w:r>
        <w:r w:rsidRPr="00C426D4">
          <w:rPr>
            <w:noProof/>
            <w:webHidden/>
          </w:rPr>
          <w:fldChar w:fldCharType="end"/>
        </w:r>
      </w:hyperlink>
    </w:p>
    <w:p w14:paraId="31B2D087" w14:textId="7AE2BD27" w:rsidR="00C426D4" w:rsidRPr="00C426D4" w:rsidRDefault="00C426D4">
      <w:pPr>
        <w:pStyle w:val="TableofFigures"/>
        <w:tabs>
          <w:tab w:val="right" w:leader="dot" w:pos="9350"/>
        </w:tabs>
        <w:rPr>
          <w:rFonts w:eastAsiaTheme="minorEastAsia"/>
          <w:noProof/>
          <w:sz w:val="22"/>
          <w:szCs w:val="22"/>
        </w:rPr>
      </w:pPr>
      <w:hyperlink w:anchor="_Toc511244915" w:history="1">
        <w:r w:rsidRPr="00C426D4">
          <w:rPr>
            <w:rStyle w:val="Hyperlink"/>
            <w:noProof/>
          </w:rPr>
          <w:t>Table 6 - Net-to-Gross Ratios</w:t>
        </w:r>
        <w:r w:rsidRPr="00C426D4">
          <w:rPr>
            <w:noProof/>
            <w:webHidden/>
          </w:rPr>
          <w:tab/>
        </w:r>
        <w:r w:rsidRPr="00C426D4">
          <w:rPr>
            <w:noProof/>
            <w:webHidden/>
          </w:rPr>
          <w:fldChar w:fldCharType="begin"/>
        </w:r>
        <w:r w:rsidRPr="00C426D4">
          <w:rPr>
            <w:noProof/>
            <w:webHidden/>
          </w:rPr>
          <w:instrText xml:space="preserve"> PAGEREF _Toc511244915 \h </w:instrText>
        </w:r>
        <w:r w:rsidRPr="00C426D4">
          <w:rPr>
            <w:noProof/>
            <w:webHidden/>
          </w:rPr>
        </w:r>
        <w:r w:rsidRPr="00C426D4">
          <w:rPr>
            <w:noProof/>
            <w:webHidden/>
          </w:rPr>
          <w:fldChar w:fldCharType="separate"/>
        </w:r>
        <w:r w:rsidRPr="00C426D4">
          <w:rPr>
            <w:noProof/>
            <w:webHidden/>
          </w:rPr>
          <w:t>6</w:t>
        </w:r>
        <w:r w:rsidRPr="00C426D4">
          <w:rPr>
            <w:noProof/>
            <w:webHidden/>
          </w:rPr>
          <w:fldChar w:fldCharType="end"/>
        </w:r>
      </w:hyperlink>
    </w:p>
    <w:p w14:paraId="33F6A28F" w14:textId="5426B649" w:rsidR="00C426D4" w:rsidRPr="00C426D4" w:rsidRDefault="00C426D4">
      <w:pPr>
        <w:pStyle w:val="TableofFigures"/>
        <w:tabs>
          <w:tab w:val="right" w:leader="dot" w:pos="9350"/>
        </w:tabs>
        <w:rPr>
          <w:rFonts w:eastAsiaTheme="minorEastAsia"/>
          <w:noProof/>
          <w:sz w:val="22"/>
          <w:szCs w:val="22"/>
        </w:rPr>
      </w:pPr>
      <w:hyperlink w:anchor="_Toc511244916" w:history="1">
        <w:r w:rsidRPr="00C426D4">
          <w:rPr>
            <w:rStyle w:val="Hyperlink"/>
            <w:noProof/>
          </w:rPr>
          <w:t>Table 7 - Installation Rates</w:t>
        </w:r>
        <w:r w:rsidRPr="00C426D4">
          <w:rPr>
            <w:noProof/>
            <w:webHidden/>
          </w:rPr>
          <w:tab/>
        </w:r>
        <w:r w:rsidRPr="00C426D4">
          <w:rPr>
            <w:noProof/>
            <w:webHidden/>
          </w:rPr>
          <w:fldChar w:fldCharType="begin"/>
        </w:r>
        <w:r w:rsidRPr="00C426D4">
          <w:rPr>
            <w:noProof/>
            <w:webHidden/>
          </w:rPr>
          <w:instrText xml:space="preserve"> PAGEREF _Toc511244916 \h </w:instrText>
        </w:r>
        <w:r w:rsidRPr="00C426D4">
          <w:rPr>
            <w:noProof/>
            <w:webHidden/>
          </w:rPr>
        </w:r>
        <w:r w:rsidRPr="00C426D4">
          <w:rPr>
            <w:noProof/>
            <w:webHidden/>
          </w:rPr>
          <w:fldChar w:fldCharType="separate"/>
        </w:r>
        <w:r w:rsidRPr="00C426D4">
          <w:rPr>
            <w:noProof/>
            <w:webHidden/>
          </w:rPr>
          <w:t>7</w:t>
        </w:r>
        <w:r w:rsidRPr="00C426D4">
          <w:rPr>
            <w:noProof/>
            <w:webHidden/>
          </w:rPr>
          <w:fldChar w:fldCharType="end"/>
        </w:r>
      </w:hyperlink>
    </w:p>
    <w:p w14:paraId="17C727C9" w14:textId="096CD145" w:rsidR="00C426D4" w:rsidRPr="00C426D4" w:rsidRDefault="00C426D4">
      <w:pPr>
        <w:pStyle w:val="TableofFigures"/>
        <w:tabs>
          <w:tab w:val="right" w:leader="dot" w:pos="9350"/>
        </w:tabs>
        <w:rPr>
          <w:rFonts w:eastAsiaTheme="minorEastAsia"/>
          <w:noProof/>
          <w:sz w:val="22"/>
          <w:szCs w:val="22"/>
        </w:rPr>
      </w:pPr>
      <w:hyperlink w:anchor="_Toc511244917" w:history="1">
        <w:r w:rsidRPr="00C426D4">
          <w:rPr>
            <w:rStyle w:val="Hyperlink"/>
            <w:noProof/>
          </w:rPr>
          <w:t>Table 8 - Effective Useful Life/Remaining Useful Life</w:t>
        </w:r>
        <w:r w:rsidRPr="00C426D4">
          <w:rPr>
            <w:noProof/>
            <w:webHidden/>
          </w:rPr>
          <w:tab/>
        </w:r>
        <w:r w:rsidRPr="00C426D4">
          <w:rPr>
            <w:noProof/>
            <w:webHidden/>
          </w:rPr>
          <w:fldChar w:fldCharType="begin"/>
        </w:r>
        <w:r w:rsidRPr="00C426D4">
          <w:rPr>
            <w:noProof/>
            <w:webHidden/>
          </w:rPr>
          <w:instrText xml:space="preserve"> PAGEREF _Toc511244917 \h </w:instrText>
        </w:r>
        <w:r w:rsidRPr="00C426D4">
          <w:rPr>
            <w:noProof/>
            <w:webHidden/>
          </w:rPr>
        </w:r>
        <w:r w:rsidRPr="00C426D4">
          <w:rPr>
            <w:noProof/>
            <w:webHidden/>
          </w:rPr>
          <w:fldChar w:fldCharType="separate"/>
        </w:r>
        <w:r w:rsidRPr="00C426D4">
          <w:rPr>
            <w:noProof/>
            <w:webHidden/>
          </w:rPr>
          <w:t>7</w:t>
        </w:r>
        <w:r w:rsidRPr="00C426D4">
          <w:rPr>
            <w:noProof/>
            <w:webHidden/>
          </w:rPr>
          <w:fldChar w:fldCharType="end"/>
        </w:r>
      </w:hyperlink>
    </w:p>
    <w:p w14:paraId="4E4E09B5" w14:textId="2877D6CB" w:rsidR="00C426D4" w:rsidRPr="00C426D4" w:rsidRDefault="00C426D4">
      <w:pPr>
        <w:pStyle w:val="TableofFigures"/>
        <w:tabs>
          <w:tab w:val="right" w:leader="dot" w:pos="9350"/>
        </w:tabs>
        <w:rPr>
          <w:rFonts w:eastAsiaTheme="minorEastAsia"/>
          <w:noProof/>
          <w:sz w:val="22"/>
          <w:szCs w:val="22"/>
        </w:rPr>
      </w:pPr>
      <w:hyperlink w:anchor="_Toc511244918" w:history="1">
        <w:r w:rsidRPr="00C426D4">
          <w:rPr>
            <w:rStyle w:val="Hyperlink"/>
            <w:noProof/>
          </w:rPr>
          <w:t>Table 9 – Base Case Technology Percentage Mix</w:t>
        </w:r>
        <w:r w:rsidRPr="00C426D4">
          <w:rPr>
            <w:noProof/>
            <w:webHidden/>
          </w:rPr>
          <w:tab/>
        </w:r>
        <w:r w:rsidRPr="00C426D4">
          <w:rPr>
            <w:noProof/>
            <w:webHidden/>
          </w:rPr>
          <w:fldChar w:fldCharType="begin"/>
        </w:r>
        <w:r w:rsidRPr="00C426D4">
          <w:rPr>
            <w:noProof/>
            <w:webHidden/>
          </w:rPr>
          <w:instrText xml:space="preserve"> PAGEREF _Toc511244918 \h </w:instrText>
        </w:r>
        <w:r w:rsidRPr="00C426D4">
          <w:rPr>
            <w:noProof/>
            <w:webHidden/>
          </w:rPr>
        </w:r>
        <w:r w:rsidRPr="00C426D4">
          <w:rPr>
            <w:noProof/>
            <w:webHidden/>
          </w:rPr>
          <w:fldChar w:fldCharType="separate"/>
        </w:r>
        <w:r w:rsidRPr="00C426D4">
          <w:rPr>
            <w:noProof/>
            <w:webHidden/>
          </w:rPr>
          <w:t>7</w:t>
        </w:r>
        <w:r w:rsidRPr="00C426D4">
          <w:rPr>
            <w:noProof/>
            <w:webHidden/>
          </w:rPr>
          <w:fldChar w:fldCharType="end"/>
        </w:r>
      </w:hyperlink>
    </w:p>
    <w:p w14:paraId="22D74DBB" w14:textId="60F0F1E8" w:rsidR="00C426D4" w:rsidRPr="00C426D4" w:rsidRDefault="00C426D4">
      <w:pPr>
        <w:pStyle w:val="TableofFigures"/>
        <w:tabs>
          <w:tab w:val="right" w:leader="dot" w:pos="9350"/>
        </w:tabs>
        <w:rPr>
          <w:rFonts w:eastAsiaTheme="minorEastAsia"/>
          <w:noProof/>
          <w:sz w:val="22"/>
          <w:szCs w:val="22"/>
        </w:rPr>
      </w:pPr>
      <w:hyperlink w:anchor="_Toc511244919" w:history="1">
        <w:r w:rsidRPr="00C426D4">
          <w:rPr>
            <w:rStyle w:val="Hyperlink"/>
            <w:noProof/>
          </w:rPr>
          <w:t>Table 10 – Manufacturer Cost Pair Matching</w:t>
        </w:r>
        <w:r w:rsidRPr="00C426D4">
          <w:rPr>
            <w:noProof/>
            <w:webHidden/>
          </w:rPr>
          <w:tab/>
        </w:r>
        <w:r w:rsidRPr="00C426D4">
          <w:rPr>
            <w:noProof/>
            <w:webHidden/>
          </w:rPr>
          <w:fldChar w:fldCharType="begin"/>
        </w:r>
        <w:r w:rsidRPr="00C426D4">
          <w:rPr>
            <w:noProof/>
            <w:webHidden/>
          </w:rPr>
          <w:instrText xml:space="preserve"> PAGEREF _Toc511244919 \h </w:instrText>
        </w:r>
        <w:r w:rsidRPr="00C426D4">
          <w:rPr>
            <w:noProof/>
            <w:webHidden/>
          </w:rPr>
        </w:r>
        <w:r w:rsidRPr="00C426D4">
          <w:rPr>
            <w:noProof/>
            <w:webHidden/>
          </w:rPr>
          <w:fldChar w:fldCharType="separate"/>
        </w:r>
        <w:r w:rsidRPr="00C426D4">
          <w:rPr>
            <w:noProof/>
            <w:webHidden/>
          </w:rPr>
          <w:t>9</w:t>
        </w:r>
        <w:r w:rsidRPr="00C426D4">
          <w:rPr>
            <w:noProof/>
            <w:webHidden/>
          </w:rPr>
          <w:fldChar w:fldCharType="end"/>
        </w:r>
      </w:hyperlink>
    </w:p>
    <w:p w14:paraId="38CDC4C4" w14:textId="77D8C7E6" w:rsidR="00C426D4" w:rsidRPr="00C426D4" w:rsidRDefault="00C426D4">
      <w:pPr>
        <w:pStyle w:val="TableofFigures"/>
        <w:tabs>
          <w:tab w:val="right" w:leader="dot" w:pos="9350"/>
        </w:tabs>
        <w:rPr>
          <w:rFonts w:eastAsiaTheme="minorEastAsia"/>
          <w:noProof/>
          <w:sz w:val="22"/>
          <w:szCs w:val="22"/>
        </w:rPr>
      </w:pPr>
      <w:hyperlink w:anchor="_Toc511244920" w:history="1">
        <w:r w:rsidRPr="00C426D4">
          <w:rPr>
            <w:rStyle w:val="Hyperlink"/>
            <w:noProof/>
          </w:rPr>
          <w:t>Table 11 – Industrial Products Efficacy Percentiles from Lighting Facts</w:t>
        </w:r>
        <w:r w:rsidRPr="00C426D4">
          <w:rPr>
            <w:noProof/>
            <w:webHidden/>
          </w:rPr>
          <w:tab/>
        </w:r>
        <w:r w:rsidRPr="00C426D4">
          <w:rPr>
            <w:noProof/>
            <w:webHidden/>
          </w:rPr>
          <w:fldChar w:fldCharType="begin"/>
        </w:r>
        <w:r w:rsidRPr="00C426D4">
          <w:rPr>
            <w:noProof/>
            <w:webHidden/>
          </w:rPr>
          <w:instrText xml:space="preserve"> PAGEREF _Toc511244920 \h </w:instrText>
        </w:r>
        <w:r w:rsidRPr="00C426D4">
          <w:rPr>
            <w:noProof/>
            <w:webHidden/>
          </w:rPr>
        </w:r>
        <w:r w:rsidRPr="00C426D4">
          <w:rPr>
            <w:noProof/>
            <w:webHidden/>
          </w:rPr>
          <w:fldChar w:fldCharType="separate"/>
        </w:r>
        <w:r w:rsidRPr="00C426D4">
          <w:rPr>
            <w:noProof/>
            <w:webHidden/>
          </w:rPr>
          <w:t>14</w:t>
        </w:r>
        <w:r w:rsidRPr="00C426D4">
          <w:rPr>
            <w:noProof/>
            <w:webHidden/>
          </w:rPr>
          <w:fldChar w:fldCharType="end"/>
        </w:r>
      </w:hyperlink>
    </w:p>
    <w:p w14:paraId="49027822" w14:textId="6353E9DC" w:rsidR="00C426D4" w:rsidRPr="00C426D4" w:rsidRDefault="00C426D4">
      <w:pPr>
        <w:pStyle w:val="TableofFigures"/>
        <w:tabs>
          <w:tab w:val="right" w:leader="dot" w:pos="9350"/>
        </w:tabs>
        <w:rPr>
          <w:rFonts w:eastAsiaTheme="minorEastAsia"/>
          <w:noProof/>
          <w:sz w:val="22"/>
          <w:szCs w:val="22"/>
        </w:rPr>
      </w:pPr>
      <w:hyperlink w:anchor="_Toc511244921" w:history="1">
        <w:r w:rsidRPr="00C426D4">
          <w:rPr>
            <w:rStyle w:val="Hyperlink"/>
            <w:noProof/>
          </w:rPr>
          <w:t>Table 12 Using Kilolumen Structure Cost Impacts</w:t>
        </w:r>
        <w:r w:rsidRPr="00C426D4">
          <w:rPr>
            <w:noProof/>
            <w:webHidden/>
          </w:rPr>
          <w:tab/>
        </w:r>
        <w:r w:rsidRPr="00C426D4">
          <w:rPr>
            <w:noProof/>
            <w:webHidden/>
          </w:rPr>
          <w:fldChar w:fldCharType="begin"/>
        </w:r>
        <w:r w:rsidRPr="00C426D4">
          <w:rPr>
            <w:noProof/>
            <w:webHidden/>
          </w:rPr>
          <w:instrText xml:space="preserve"> PAGEREF _Toc511244921 \h </w:instrText>
        </w:r>
        <w:r w:rsidRPr="00C426D4">
          <w:rPr>
            <w:noProof/>
            <w:webHidden/>
          </w:rPr>
        </w:r>
        <w:r w:rsidRPr="00C426D4">
          <w:rPr>
            <w:noProof/>
            <w:webHidden/>
          </w:rPr>
          <w:fldChar w:fldCharType="separate"/>
        </w:r>
        <w:r w:rsidRPr="00C426D4">
          <w:rPr>
            <w:noProof/>
            <w:webHidden/>
          </w:rPr>
          <w:t>15</w:t>
        </w:r>
        <w:r w:rsidRPr="00C426D4">
          <w:rPr>
            <w:noProof/>
            <w:webHidden/>
          </w:rPr>
          <w:fldChar w:fldCharType="end"/>
        </w:r>
      </w:hyperlink>
    </w:p>
    <w:p w14:paraId="7EC77D86" w14:textId="06FBD591" w:rsidR="00C426D4" w:rsidRPr="00C426D4" w:rsidRDefault="00C426D4">
      <w:pPr>
        <w:pStyle w:val="TableofFigures"/>
        <w:tabs>
          <w:tab w:val="right" w:leader="dot" w:pos="9350"/>
        </w:tabs>
        <w:rPr>
          <w:rFonts w:eastAsiaTheme="minorEastAsia"/>
          <w:noProof/>
          <w:sz w:val="22"/>
          <w:szCs w:val="22"/>
        </w:rPr>
      </w:pPr>
      <w:hyperlink w:anchor="_Toc511244922" w:history="1">
        <w:r w:rsidRPr="00C426D4">
          <w:rPr>
            <w:rStyle w:val="Hyperlink"/>
            <w:noProof/>
          </w:rPr>
          <w:t>Table 13 – Variation in MH and LED Efficacies Across Wattage and Output Range</w:t>
        </w:r>
        <w:r w:rsidRPr="00C426D4">
          <w:rPr>
            <w:noProof/>
            <w:webHidden/>
          </w:rPr>
          <w:tab/>
        </w:r>
        <w:r w:rsidRPr="00C426D4">
          <w:rPr>
            <w:noProof/>
            <w:webHidden/>
          </w:rPr>
          <w:fldChar w:fldCharType="begin"/>
        </w:r>
        <w:r w:rsidRPr="00C426D4">
          <w:rPr>
            <w:noProof/>
            <w:webHidden/>
          </w:rPr>
          <w:instrText xml:space="preserve"> PAGEREF _Toc511244922 \h </w:instrText>
        </w:r>
        <w:r w:rsidRPr="00C426D4">
          <w:rPr>
            <w:noProof/>
            <w:webHidden/>
          </w:rPr>
        </w:r>
        <w:r w:rsidRPr="00C426D4">
          <w:rPr>
            <w:noProof/>
            <w:webHidden/>
          </w:rPr>
          <w:fldChar w:fldCharType="separate"/>
        </w:r>
        <w:r w:rsidRPr="00C426D4">
          <w:rPr>
            <w:noProof/>
            <w:webHidden/>
          </w:rPr>
          <w:t>15</w:t>
        </w:r>
        <w:r w:rsidRPr="00C426D4">
          <w:rPr>
            <w:noProof/>
            <w:webHidden/>
          </w:rPr>
          <w:fldChar w:fldCharType="end"/>
        </w:r>
      </w:hyperlink>
    </w:p>
    <w:p w14:paraId="46278154" w14:textId="7C54D483" w:rsidR="00C426D4" w:rsidRPr="00C426D4" w:rsidRDefault="00C426D4">
      <w:pPr>
        <w:pStyle w:val="TableofFigures"/>
        <w:tabs>
          <w:tab w:val="right" w:leader="dot" w:pos="9350"/>
        </w:tabs>
        <w:rPr>
          <w:rFonts w:eastAsiaTheme="minorEastAsia"/>
          <w:noProof/>
          <w:sz w:val="22"/>
          <w:szCs w:val="22"/>
        </w:rPr>
      </w:pPr>
      <w:hyperlink w:anchor="_Toc511244923" w:history="1">
        <w:r w:rsidRPr="00C426D4">
          <w:rPr>
            <w:rStyle w:val="Hyperlink"/>
            <w:noProof/>
          </w:rPr>
          <w:t>Table 14 – Rebate Catalog Example if Using Lumen Bins and Efficacy</w:t>
        </w:r>
        <w:r w:rsidRPr="00C426D4">
          <w:rPr>
            <w:noProof/>
            <w:webHidden/>
          </w:rPr>
          <w:tab/>
        </w:r>
        <w:r w:rsidRPr="00C426D4">
          <w:rPr>
            <w:noProof/>
            <w:webHidden/>
          </w:rPr>
          <w:fldChar w:fldCharType="begin"/>
        </w:r>
        <w:r w:rsidRPr="00C426D4">
          <w:rPr>
            <w:noProof/>
            <w:webHidden/>
          </w:rPr>
          <w:instrText xml:space="preserve"> PAGEREF _Toc511244923 \h </w:instrText>
        </w:r>
        <w:r w:rsidRPr="00C426D4">
          <w:rPr>
            <w:noProof/>
            <w:webHidden/>
          </w:rPr>
        </w:r>
        <w:r w:rsidRPr="00C426D4">
          <w:rPr>
            <w:noProof/>
            <w:webHidden/>
          </w:rPr>
          <w:fldChar w:fldCharType="separate"/>
        </w:r>
        <w:r w:rsidRPr="00C426D4">
          <w:rPr>
            <w:noProof/>
            <w:webHidden/>
          </w:rPr>
          <w:t>16</w:t>
        </w:r>
        <w:r w:rsidRPr="00C426D4">
          <w:rPr>
            <w:noProof/>
            <w:webHidden/>
          </w:rPr>
          <w:fldChar w:fldCharType="end"/>
        </w:r>
      </w:hyperlink>
    </w:p>
    <w:p w14:paraId="749952E5" w14:textId="46D93C07" w:rsidR="00C426D4" w:rsidRPr="00C426D4" w:rsidRDefault="00C426D4">
      <w:pPr>
        <w:pStyle w:val="TableofFigures"/>
        <w:tabs>
          <w:tab w:val="right" w:leader="dot" w:pos="9350"/>
        </w:tabs>
        <w:rPr>
          <w:rFonts w:eastAsiaTheme="minorEastAsia"/>
          <w:noProof/>
          <w:sz w:val="22"/>
          <w:szCs w:val="22"/>
        </w:rPr>
      </w:pPr>
      <w:hyperlink w:anchor="_Toc511244924" w:history="1">
        <w:r w:rsidRPr="00C426D4">
          <w:rPr>
            <w:rStyle w:val="Hyperlink"/>
            <w:noProof/>
          </w:rPr>
          <w:t>Table 15 - LED High-Bay and Low-Bay Fixtures Base and Measure Wattages</w:t>
        </w:r>
        <w:r w:rsidRPr="00C426D4">
          <w:rPr>
            <w:noProof/>
            <w:webHidden/>
          </w:rPr>
          <w:tab/>
        </w:r>
        <w:r w:rsidRPr="00C426D4">
          <w:rPr>
            <w:noProof/>
            <w:webHidden/>
          </w:rPr>
          <w:fldChar w:fldCharType="begin"/>
        </w:r>
        <w:r w:rsidRPr="00C426D4">
          <w:rPr>
            <w:noProof/>
            <w:webHidden/>
          </w:rPr>
          <w:instrText xml:space="preserve"> PAGEREF _Toc511244924 \h </w:instrText>
        </w:r>
        <w:r w:rsidRPr="00C426D4">
          <w:rPr>
            <w:noProof/>
            <w:webHidden/>
          </w:rPr>
        </w:r>
        <w:r w:rsidRPr="00C426D4">
          <w:rPr>
            <w:noProof/>
            <w:webHidden/>
          </w:rPr>
          <w:fldChar w:fldCharType="separate"/>
        </w:r>
        <w:r w:rsidRPr="00C426D4">
          <w:rPr>
            <w:noProof/>
            <w:webHidden/>
          </w:rPr>
          <w:t>17</w:t>
        </w:r>
        <w:r w:rsidRPr="00C426D4">
          <w:rPr>
            <w:noProof/>
            <w:webHidden/>
          </w:rPr>
          <w:fldChar w:fldCharType="end"/>
        </w:r>
      </w:hyperlink>
    </w:p>
    <w:p w14:paraId="390E2429" w14:textId="648E8C50" w:rsidR="00C426D4" w:rsidRPr="00C426D4" w:rsidRDefault="00C426D4">
      <w:pPr>
        <w:pStyle w:val="TableofFigures"/>
        <w:tabs>
          <w:tab w:val="right" w:leader="dot" w:pos="9350"/>
        </w:tabs>
        <w:rPr>
          <w:rFonts w:eastAsiaTheme="minorEastAsia"/>
          <w:noProof/>
          <w:sz w:val="22"/>
          <w:szCs w:val="22"/>
        </w:rPr>
      </w:pPr>
      <w:hyperlink w:anchor="_Toc511244925" w:history="1">
        <w:r w:rsidRPr="00C426D4">
          <w:rPr>
            <w:rStyle w:val="Hyperlink"/>
            <w:noProof/>
          </w:rPr>
          <w:t>Table 16 Example of Photometric Data from “.ies” file</w:t>
        </w:r>
        <w:r w:rsidRPr="00C426D4">
          <w:rPr>
            <w:noProof/>
            <w:webHidden/>
          </w:rPr>
          <w:tab/>
        </w:r>
        <w:r w:rsidRPr="00C426D4">
          <w:rPr>
            <w:noProof/>
            <w:webHidden/>
          </w:rPr>
          <w:fldChar w:fldCharType="begin"/>
        </w:r>
        <w:r w:rsidRPr="00C426D4">
          <w:rPr>
            <w:noProof/>
            <w:webHidden/>
          </w:rPr>
          <w:instrText xml:space="preserve"> PAGEREF _Toc511244925 \h </w:instrText>
        </w:r>
        <w:r w:rsidRPr="00C426D4">
          <w:rPr>
            <w:noProof/>
            <w:webHidden/>
          </w:rPr>
        </w:r>
        <w:r w:rsidRPr="00C426D4">
          <w:rPr>
            <w:noProof/>
            <w:webHidden/>
          </w:rPr>
          <w:fldChar w:fldCharType="separate"/>
        </w:r>
        <w:r w:rsidRPr="00C426D4">
          <w:rPr>
            <w:noProof/>
            <w:webHidden/>
          </w:rPr>
          <w:t>17</w:t>
        </w:r>
        <w:r w:rsidRPr="00C426D4">
          <w:rPr>
            <w:noProof/>
            <w:webHidden/>
          </w:rPr>
          <w:fldChar w:fldCharType="end"/>
        </w:r>
      </w:hyperlink>
    </w:p>
    <w:p w14:paraId="6E8E143B" w14:textId="0F47C432" w:rsidR="00C426D4" w:rsidRPr="00C426D4" w:rsidRDefault="00C426D4">
      <w:pPr>
        <w:pStyle w:val="TableofFigures"/>
        <w:tabs>
          <w:tab w:val="right" w:leader="dot" w:pos="9350"/>
        </w:tabs>
        <w:rPr>
          <w:rFonts w:eastAsiaTheme="minorEastAsia"/>
          <w:noProof/>
          <w:sz w:val="22"/>
          <w:szCs w:val="22"/>
        </w:rPr>
      </w:pPr>
      <w:hyperlink w:anchor="_Toc511244926" w:history="1">
        <w:r w:rsidRPr="00C426D4">
          <w:rPr>
            <w:rStyle w:val="Hyperlink"/>
            <w:noProof/>
          </w:rPr>
          <w:t>Table 17 Example Calculation of Fixture Efficiency and Fixture Lumens</w:t>
        </w:r>
        <w:r w:rsidRPr="00C426D4">
          <w:rPr>
            <w:noProof/>
            <w:webHidden/>
          </w:rPr>
          <w:tab/>
        </w:r>
        <w:r w:rsidRPr="00C426D4">
          <w:rPr>
            <w:noProof/>
            <w:webHidden/>
          </w:rPr>
          <w:fldChar w:fldCharType="begin"/>
        </w:r>
        <w:r w:rsidRPr="00C426D4">
          <w:rPr>
            <w:noProof/>
            <w:webHidden/>
          </w:rPr>
          <w:instrText xml:space="preserve"> PAGEREF _Toc511244926 \h </w:instrText>
        </w:r>
        <w:r w:rsidRPr="00C426D4">
          <w:rPr>
            <w:noProof/>
            <w:webHidden/>
          </w:rPr>
        </w:r>
        <w:r w:rsidRPr="00C426D4">
          <w:rPr>
            <w:noProof/>
            <w:webHidden/>
          </w:rPr>
          <w:fldChar w:fldCharType="separate"/>
        </w:r>
        <w:r w:rsidRPr="00C426D4">
          <w:rPr>
            <w:noProof/>
            <w:webHidden/>
          </w:rPr>
          <w:t>18</w:t>
        </w:r>
        <w:r w:rsidRPr="00C426D4">
          <w:rPr>
            <w:noProof/>
            <w:webHidden/>
          </w:rPr>
          <w:fldChar w:fldCharType="end"/>
        </w:r>
      </w:hyperlink>
    </w:p>
    <w:p w14:paraId="5BAB0561" w14:textId="6C1D9F13" w:rsidR="00C426D4" w:rsidRPr="00C426D4" w:rsidRDefault="00C426D4">
      <w:pPr>
        <w:pStyle w:val="TableofFigures"/>
        <w:tabs>
          <w:tab w:val="right" w:leader="dot" w:pos="9350"/>
        </w:tabs>
        <w:rPr>
          <w:rFonts w:eastAsiaTheme="minorEastAsia"/>
          <w:noProof/>
          <w:sz w:val="22"/>
          <w:szCs w:val="22"/>
        </w:rPr>
      </w:pPr>
      <w:hyperlink w:anchor="_Toc511244927" w:history="1">
        <w:r w:rsidRPr="00C426D4">
          <w:rPr>
            <w:rStyle w:val="Hyperlink"/>
            <w:noProof/>
          </w:rPr>
          <w:t>Table 18 Equivalent LED Lumen Output for Similar Levels of Service</w:t>
        </w:r>
        <w:r w:rsidRPr="00C426D4">
          <w:rPr>
            <w:noProof/>
            <w:webHidden/>
          </w:rPr>
          <w:tab/>
        </w:r>
        <w:r w:rsidRPr="00C426D4">
          <w:rPr>
            <w:noProof/>
            <w:webHidden/>
          </w:rPr>
          <w:fldChar w:fldCharType="begin"/>
        </w:r>
        <w:r w:rsidRPr="00C426D4">
          <w:rPr>
            <w:noProof/>
            <w:webHidden/>
          </w:rPr>
          <w:instrText xml:space="preserve"> PAGEREF _Toc511244927 \h </w:instrText>
        </w:r>
        <w:r w:rsidRPr="00C426D4">
          <w:rPr>
            <w:noProof/>
            <w:webHidden/>
          </w:rPr>
        </w:r>
        <w:r w:rsidRPr="00C426D4">
          <w:rPr>
            <w:noProof/>
            <w:webHidden/>
          </w:rPr>
          <w:fldChar w:fldCharType="separate"/>
        </w:r>
        <w:r w:rsidRPr="00C426D4">
          <w:rPr>
            <w:noProof/>
            <w:webHidden/>
          </w:rPr>
          <w:t>18</w:t>
        </w:r>
        <w:r w:rsidRPr="00C426D4">
          <w:rPr>
            <w:noProof/>
            <w:webHidden/>
          </w:rPr>
          <w:fldChar w:fldCharType="end"/>
        </w:r>
      </w:hyperlink>
    </w:p>
    <w:p w14:paraId="4AFA5472" w14:textId="450704F7" w:rsidR="00C426D4" w:rsidRPr="00C426D4" w:rsidRDefault="00C426D4">
      <w:pPr>
        <w:pStyle w:val="TableofFigures"/>
        <w:tabs>
          <w:tab w:val="right" w:leader="dot" w:pos="9350"/>
        </w:tabs>
        <w:rPr>
          <w:rFonts w:eastAsiaTheme="minorEastAsia"/>
          <w:noProof/>
          <w:sz w:val="22"/>
          <w:szCs w:val="22"/>
        </w:rPr>
      </w:pPr>
      <w:hyperlink w:anchor="_Toc511244928" w:history="1">
        <w:r w:rsidRPr="00C426D4">
          <w:rPr>
            <w:rStyle w:val="Hyperlink"/>
            <w:noProof/>
          </w:rPr>
          <w:t>Table 19 Lower Lumen Bin Measure Definition for the Next Measure Code</w:t>
        </w:r>
        <w:r w:rsidRPr="00C426D4">
          <w:rPr>
            <w:noProof/>
            <w:webHidden/>
          </w:rPr>
          <w:tab/>
        </w:r>
        <w:r w:rsidRPr="00C426D4">
          <w:rPr>
            <w:noProof/>
            <w:webHidden/>
          </w:rPr>
          <w:fldChar w:fldCharType="begin"/>
        </w:r>
        <w:r w:rsidRPr="00C426D4">
          <w:rPr>
            <w:noProof/>
            <w:webHidden/>
          </w:rPr>
          <w:instrText xml:space="preserve"> PAGEREF _Toc511244928 \h </w:instrText>
        </w:r>
        <w:r w:rsidRPr="00C426D4">
          <w:rPr>
            <w:noProof/>
            <w:webHidden/>
          </w:rPr>
        </w:r>
        <w:r w:rsidRPr="00C426D4">
          <w:rPr>
            <w:noProof/>
            <w:webHidden/>
          </w:rPr>
          <w:fldChar w:fldCharType="separate"/>
        </w:r>
        <w:r w:rsidRPr="00C426D4">
          <w:rPr>
            <w:noProof/>
            <w:webHidden/>
          </w:rPr>
          <w:t>18</w:t>
        </w:r>
        <w:r w:rsidRPr="00C426D4">
          <w:rPr>
            <w:noProof/>
            <w:webHidden/>
          </w:rPr>
          <w:fldChar w:fldCharType="end"/>
        </w:r>
      </w:hyperlink>
    </w:p>
    <w:p w14:paraId="00867D13" w14:textId="73C46890" w:rsidR="00C426D4" w:rsidRPr="00C426D4" w:rsidRDefault="00C426D4">
      <w:pPr>
        <w:pStyle w:val="TableofFigures"/>
        <w:tabs>
          <w:tab w:val="right" w:leader="dot" w:pos="9350"/>
        </w:tabs>
        <w:rPr>
          <w:rFonts w:eastAsiaTheme="minorEastAsia"/>
          <w:noProof/>
          <w:sz w:val="22"/>
          <w:szCs w:val="22"/>
        </w:rPr>
      </w:pPr>
      <w:hyperlink w:anchor="_Toc511244929" w:history="1">
        <w:r w:rsidRPr="00C426D4">
          <w:rPr>
            <w:rStyle w:val="Hyperlink"/>
            <w:noProof/>
          </w:rPr>
          <w:t>Table 20 - Incremental and Full Measure Cost Equations</w:t>
        </w:r>
        <w:r w:rsidRPr="00C426D4">
          <w:rPr>
            <w:noProof/>
            <w:webHidden/>
          </w:rPr>
          <w:tab/>
        </w:r>
        <w:r w:rsidRPr="00C426D4">
          <w:rPr>
            <w:noProof/>
            <w:webHidden/>
          </w:rPr>
          <w:fldChar w:fldCharType="begin"/>
        </w:r>
        <w:r w:rsidRPr="00C426D4">
          <w:rPr>
            <w:noProof/>
            <w:webHidden/>
          </w:rPr>
          <w:instrText xml:space="preserve"> PAGEREF _Toc511244929 \h </w:instrText>
        </w:r>
        <w:r w:rsidRPr="00C426D4">
          <w:rPr>
            <w:noProof/>
            <w:webHidden/>
          </w:rPr>
        </w:r>
        <w:r w:rsidRPr="00C426D4">
          <w:rPr>
            <w:noProof/>
            <w:webHidden/>
          </w:rPr>
          <w:fldChar w:fldCharType="separate"/>
        </w:r>
        <w:r w:rsidRPr="00C426D4">
          <w:rPr>
            <w:noProof/>
            <w:webHidden/>
          </w:rPr>
          <w:t>22</w:t>
        </w:r>
        <w:r w:rsidRPr="00C426D4">
          <w:rPr>
            <w:noProof/>
            <w:webHidden/>
          </w:rPr>
          <w:fldChar w:fldCharType="end"/>
        </w:r>
      </w:hyperlink>
    </w:p>
    <w:p w14:paraId="764A8803" w14:textId="13F24E7C" w:rsidR="005A1F9D" w:rsidRDefault="00A57045" w:rsidP="005A1F9D">
      <w:r w:rsidRPr="002C3514">
        <w:fldChar w:fldCharType="end"/>
      </w:r>
      <w:r w:rsidR="005A1F9D" w:rsidRPr="005A1F9D">
        <w:t xml:space="preserve"> </w:t>
      </w:r>
    </w:p>
    <w:p w14:paraId="2450E509" w14:textId="77777777"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4" w:name="_Toc172205732"/>
    </w:p>
    <w:p w14:paraId="1652C3F8" w14:textId="3B75BBE5" w:rsidR="002C3514" w:rsidRDefault="002C3514" w:rsidP="002C3514">
      <w:pPr>
        <w:pStyle w:val="Heading1"/>
      </w:pPr>
      <w:bookmarkStart w:id="15" w:name="_Toc511038025"/>
      <w:bookmarkStart w:id="16" w:name="_Toc511244876"/>
      <w:r>
        <w:t>List of Figures</w:t>
      </w:r>
      <w:bookmarkEnd w:id="16"/>
    </w:p>
    <w:p w14:paraId="6FD2898E" w14:textId="219AD775" w:rsidR="00C426D4" w:rsidRPr="00C426D4" w:rsidRDefault="002C3514">
      <w:pPr>
        <w:pStyle w:val="TableofFigures"/>
        <w:tabs>
          <w:tab w:val="right" w:leader="dot" w:pos="9350"/>
        </w:tabs>
        <w:rPr>
          <w:rFonts w:eastAsiaTheme="minorEastAsia"/>
          <w:noProof/>
          <w:sz w:val="22"/>
          <w:szCs w:val="22"/>
        </w:rPr>
      </w:pPr>
      <w:r w:rsidRPr="00C426D4">
        <w:fldChar w:fldCharType="begin"/>
      </w:r>
      <w:r w:rsidRPr="00C426D4">
        <w:instrText xml:space="preserve"> TOC \h \z \c "Figure" </w:instrText>
      </w:r>
      <w:r w:rsidRPr="00C426D4">
        <w:fldChar w:fldCharType="separate"/>
      </w:r>
      <w:hyperlink w:anchor="_Toc511244930" w:history="1">
        <w:r w:rsidR="00C426D4" w:rsidRPr="00C426D4">
          <w:rPr>
            <w:rStyle w:val="Hyperlink"/>
            <w:noProof/>
          </w:rPr>
          <w:t>Figure 1: Web-based LED Price and Efficacy Data for Recessed Troffer/Panel 2’ x 4’</w:t>
        </w:r>
        <w:r w:rsidR="00C426D4" w:rsidRPr="00C426D4">
          <w:rPr>
            <w:noProof/>
            <w:webHidden/>
          </w:rPr>
          <w:tab/>
        </w:r>
        <w:r w:rsidR="00C426D4" w:rsidRPr="00C426D4">
          <w:rPr>
            <w:noProof/>
            <w:webHidden/>
          </w:rPr>
          <w:fldChar w:fldCharType="begin"/>
        </w:r>
        <w:r w:rsidR="00C426D4" w:rsidRPr="00C426D4">
          <w:rPr>
            <w:noProof/>
            <w:webHidden/>
          </w:rPr>
          <w:instrText xml:space="preserve"> PAGEREF _Toc511244930 \h </w:instrText>
        </w:r>
        <w:r w:rsidR="00C426D4" w:rsidRPr="00C426D4">
          <w:rPr>
            <w:noProof/>
            <w:webHidden/>
          </w:rPr>
        </w:r>
        <w:r w:rsidR="00C426D4" w:rsidRPr="00C426D4">
          <w:rPr>
            <w:noProof/>
            <w:webHidden/>
          </w:rPr>
          <w:fldChar w:fldCharType="separate"/>
        </w:r>
        <w:r w:rsidR="00C426D4" w:rsidRPr="00C426D4">
          <w:rPr>
            <w:noProof/>
            <w:webHidden/>
          </w:rPr>
          <w:t>3</w:t>
        </w:r>
        <w:r w:rsidR="00C426D4" w:rsidRPr="00C426D4">
          <w:rPr>
            <w:noProof/>
            <w:webHidden/>
          </w:rPr>
          <w:fldChar w:fldCharType="end"/>
        </w:r>
      </w:hyperlink>
    </w:p>
    <w:p w14:paraId="7AF401FF" w14:textId="435073FF" w:rsidR="00C426D4" w:rsidRPr="00C426D4" w:rsidRDefault="00C426D4">
      <w:pPr>
        <w:pStyle w:val="TableofFigures"/>
        <w:tabs>
          <w:tab w:val="right" w:leader="dot" w:pos="9350"/>
        </w:tabs>
        <w:rPr>
          <w:rFonts w:eastAsiaTheme="minorEastAsia"/>
          <w:noProof/>
          <w:sz w:val="22"/>
          <w:szCs w:val="22"/>
        </w:rPr>
      </w:pPr>
      <w:hyperlink w:anchor="_Toc511244931" w:history="1">
        <w:r w:rsidRPr="00C426D4">
          <w:rPr>
            <w:rStyle w:val="Hyperlink"/>
            <w:noProof/>
          </w:rPr>
          <w:t>Figure 2 – Example of Zonal Lumen in the 20 – 50 degrees</w:t>
        </w:r>
        <w:r w:rsidRPr="00C426D4">
          <w:rPr>
            <w:noProof/>
            <w:webHidden/>
          </w:rPr>
          <w:tab/>
        </w:r>
        <w:r w:rsidRPr="00C426D4">
          <w:rPr>
            <w:noProof/>
            <w:webHidden/>
          </w:rPr>
          <w:fldChar w:fldCharType="begin"/>
        </w:r>
        <w:r w:rsidRPr="00C426D4">
          <w:rPr>
            <w:noProof/>
            <w:webHidden/>
          </w:rPr>
          <w:instrText xml:space="preserve"> PAGEREF _Toc511244931 \h </w:instrText>
        </w:r>
        <w:r w:rsidRPr="00C426D4">
          <w:rPr>
            <w:noProof/>
            <w:webHidden/>
          </w:rPr>
        </w:r>
        <w:r w:rsidRPr="00C426D4">
          <w:rPr>
            <w:noProof/>
            <w:webHidden/>
          </w:rPr>
          <w:fldChar w:fldCharType="separate"/>
        </w:r>
        <w:r w:rsidRPr="00C426D4">
          <w:rPr>
            <w:noProof/>
            <w:webHidden/>
          </w:rPr>
          <w:t>11</w:t>
        </w:r>
        <w:r w:rsidRPr="00C426D4">
          <w:rPr>
            <w:noProof/>
            <w:webHidden/>
          </w:rPr>
          <w:fldChar w:fldCharType="end"/>
        </w:r>
      </w:hyperlink>
    </w:p>
    <w:p w14:paraId="7DFD85C0" w14:textId="4AD41688" w:rsidR="00C426D4" w:rsidRPr="00C426D4" w:rsidRDefault="00C426D4">
      <w:pPr>
        <w:pStyle w:val="TableofFigures"/>
        <w:tabs>
          <w:tab w:val="right" w:leader="dot" w:pos="9350"/>
        </w:tabs>
        <w:rPr>
          <w:rFonts w:eastAsiaTheme="minorEastAsia"/>
          <w:noProof/>
          <w:sz w:val="22"/>
          <w:szCs w:val="22"/>
        </w:rPr>
      </w:pPr>
      <w:hyperlink w:anchor="_Toc511244932" w:history="1">
        <w:r w:rsidRPr="00C426D4">
          <w:rPr>
            <w:rStyle w:val="Hyperlink"/>
            <w:noProof/>
          </w:rPr>
          <w:t>Figure 3 – Example of Useful Lumens in the 0 – 50 degrees</w:t>
        </w:r>
        <w:r w:rsidRPr="00C426D4">
          <w:rPr>
            <w:noProof/>
            <w:webHidden/>
          </w:rPr>
          <w:tab/>
        </w:r>
        <w:r w:rsidRPr="00C426D4">
          <w:rPr>
            <w:noProof/>
            <w:webHidden/>
          </w:rPr>
          <w:fldChar w:fldCharType="begin"/>
        </w:r>
        <w:r w:rsidRPr="00C426D4">
          <w:rPr>
            <w:noProof/>
            <w:webHidden/>
          </w:rPr>
          <w:instrText xml:space="preserve"> PAGEREF _Toc511244932 \h </w:instrText>
        </w:r>
        <w:r w:rsidRPr="00C426D4">
          <w:rPr>
            <w:noProof/>
            <w:webHidden/>
          </w:rPr>
        </w:r>
        <w:r w:rsidRPr="00C426D4">
          <w:rPr>
            <w:noProof/>
            <w:webHidden/>
          </w:rPr>
          <w:fldChar w:fldCharType="separate"/>
        </w:r>
        <w:r w:rsidRPr="00C426D4">
          <w:rPr>
            <w:noProof/>
            <w:webHidden/>
          </w:rPr>
          <w:t>12</w:t>
        </w:r>
        <w:r w:rsidRPr="00C426D4">
          <w:rPr>
            <w:noProof/>
            <w:webHidden/>
          </w:rPr>
          <w:fldChar w:fldCharType="end"/>
        </w:r>
      </w:hyperlink>
    </w:p>
    <w:p w14:paraId="0201092B" w14:textId="229E1ED7" w:rsidR="00C426D4" w:rsidRPr="00C426D4" w:rsidRDefault="00C426D4">
      <w:pPr>
        <w:pStyle w:val="TableofFigures"/>
        <w:tabs>
          <w:tab w:val="right" w:leader="dot" w:pos="9350"/>
        </w:tabs>
        <w:rPr>
          <w:rFonts w:eastAsiaTheme="minorEastAsia"/>
          <w:noProof/>
          <w:sz w:val="22"/>
          <w:szCs w:val="22"/>
        </w:rPr>
      </w:pPr>
      <w:hyperlink w:anchor="_Toc511244933" w:history="1">
        <w:r w:rsidRPr="00C426D4">
          <w:rPr>
            <w:rStyle w:val="Hyperlink"/>
            <w:noProof/>
          </w:rPr>
          <w:t>Figure 4 – HPT8/T5 Linear Fluorescent Highbay Fixture Program Data, 2013-2017</w:t>
        </w:r>
        <w:r w:rsidRPr="00C426D4">
          <w:rPr>
            <w:noProof/>
            <w:webHidden/>
          </w:rPr>
          <w:tab/>
        </w:r>
        <w:r w:rsidRPr="00C426D4">
          <w:rPr>
            <w:noProof/>
            <w:webHidden/>
          </w:rPr>
          <w:fldChar w:fldCharType="begin"/>
        </w:r>
        <w:r w:rsidRPr="00C426D4">
          <w:rPr>
            <w:noProof/>
            <w:webHidden/>
          </w:rPr>
          <w:instrText xml:space="preserve"> PAGEREF _Toc511244933 \h </w:instrText>
        </w:r>
        <w:r w:rsidRPr="00C426D4">
          <w:rPr>
            <w:noProof/>
            <w:webHidden/>
          </w:rPr>
        </w:r>
        <w:r w:rsidRPr="00C426D4">
          <w:rPr>
            <w:noProof/>
            <w:webHidden/>
          </w:rPr>
          <w:fldChar w:fldCharType="separate"/>
        </w:r>
        <w:r w:rsidRPr="00C426D4">
          <w:rPr>
            <w:noProof/>
            <w:webHidden/>
          </w:rPr>
          <w:t>13</w:t>
        </w:r>
        <w:r w:rsidRPr="00C426D4">
          <w:rPr>
            <w:noProof/>
            <w:webHidden/>
          </w:rPr>
          <w:fldChar w:fldCharType="end"/>
        </w:r>
      </w:hyperlink>
    </w:p>
    <w:p w14:paraId="6351403D" w14:textId="70B5217C" w:rsidR="002C3514" w:rsidRDefault="002C3514">
      <w:pPr>
        <w:rPr>
          <w:rFonts w:ascii="Arial" w:hAnsi="Arial" w:cs="Arial"/>
          <w:b/>
          <w:bCs/>
          <w:kern w:val="32"/>
          <w:sz w:val="32"/>
          <w:szCs w:val="32"/>
        </w:rPr>
      </w:pPr>
      <w:r w:rsidRPr="00C426D4">
        <w:fldChar w:fldCharType="end"/>
      </w:r>
      <w:r>
        <w:br w:type="page"/>
      </w:r>
    </w:p>
    <w:p w14:paraId="4E6F4D2E" w14:textId="6BD8480E" w:rsidR="00ED21EE" w:rsidRDefault="00FC0A3B" w:rsidP="00ED21EE">
      <w:pPr>
        <w:pStyle w:val="Heading1"/>
      </w:pPr>
      <w:bookmarkStart w:id="17" w:name="_Toc511244877"/>
      <w:r>
        <w:lastRenderedPageBreak/>
        <w:t>Section 1</w:t>
      </w:r>
      <w:r w:rsidR="00ED21EE">
        <w:t xml:space="preserve"> General Measure &amp; Baseline Data</w:t>
      </w:r>
      <w:bookmarkEnd w:id="15"/>
      <w:bookmarkEnd w:id="17"/>
    </w:p>
    <w:p w14:paraId="1EF0BF6B" w14:textId="12A71286" w:rsidR="00E71EF1" w:rsidRDefault="001248A3" w:rsidP="001248A3">
      <w:pPr>
        <w:pStyle w:val="Heading2"/>
      </w:pPr>
      <w:bookmarkStart w:id="18" w:name="_Ref510938903"/>
      <w:bookmarkStart w:id="19" w:name="_Toc511038026"/>
      <w:bookmarkStart w:id="20" w:name="_Toc511244878"/>
      <w:bookmarkEnd w:id="14"/>
      <w:r>
        <w:t xml:space="preserve">1.1 </w:t>
      </w:r>
      <w:r w:rsidR="00E71EF1" w:rsidRPr="001248A3">
        <w:t>Measure Description &amp; Background</w:t>
      </w:r>
      <w:bookmarkEnd w:id="18"/>
      <w:bookmarkEnd w:id="19"/>
      <w:bookmarkEnd w:id="20"/>
    </w:p>
    <w:p w14:paraId="0929A73D" w14:textId="1641C007" w:rsidR="00763FAC" w:rsidRPr="00763FAC" w:rsidRDefault="00763FAC" w:rsidP="00763FAC">
      <w:pPr>
        <w:rPr>
          <w:rFonts w:ascii="Arial" w:hAnsi="Arial" w:cs="Arial"/>
          <w:sz w:val="20"/>
          <w:szCs w:val="20"/>
        </w:rPr>
      </w:pPr>
    </w:p>
    <w:p w14:paraId="451560DC" w14:textId="41D52C83" w:rsidR="005B4E0D" w:rsidRDefault="005B4E0D" w:rsidP="00763FAC">
      <w:pPr>
        <w:rPr>
          <w:rFonts w:ascii="Arial" w:hAnsi="Arial" w:cs="Arial"/>
          <w:sz w:val="20"/>
          <w:szCs w:val="20"/>
        </w:rPr>
      </w:pPr>
      <w:r>
        <w:rPr>
          <w:rFonts w:ascii="Arial" w:hAnsi="Arial" w:cs="Arial"/>
          <w:sz w:val="20"/>
          <w:szCs w:val="20"/>
        </w:rPr>
        <w:t xml:space="preserve">PG&amp;E was issued two relevant </w:t>
      </w:r>
      <w:r w:rsidR="00157FB2">
        <w:rPr>
          <w:rFonts w:ascii="Arial" w:hAnsi="Arial" w:cs="Arial"/>
          <w:sz w:val="20"/>
          <w:szCs w:val="20"/>
        </w:rPr>
        <w:t xml:space="preserve">lighting </w:t>
      </w:r>
      <w:r>
        <w:rPr>
          <w:rFonts w:ascii="Arial" w:hAnsi="Arial" w:cs="Arial"/>
          <w:sz w:val="20"/>
          <w:szCs w:val="20"/>
        </w:rPr>
        <w:t>dispositions:</w:t>
      </w:r>
    </w:p>
    <w:p w14:paraId="1704B046" w14:textId="77777777" w:rsidR="005B4E0D" w:rsidRPr="00763FAC" w:rsidRDefault="005B4E0D" w:rsidP="006666F0">
      <w:pPr>
        <w:pStyle w:val="ListParagraph"/>
        <w:numPr>
          <w:ilvl w:val="0"/>
          <w:numId w:val="7"/>
        </w:numPr>
        <w:rPr>
          <w:rFonts w:ascii="Arial" w:hAnsi="Arial" w:cs="Arial"/>
          <w:sz w:val="20"/>
          <w:szCs w:val="20"/>
        </w:rPr>
      </w:pPr>
      <w:r w:rsidRPr="00763FAC">
        <w:rPr>
          <w:rFonts w:ascii="Arial" w:hAnsi="Arial" w:cs="Arial"/>
          <w:sz w:val="20"/>
          <w:szCs w:val="20"/>
        </w:rPr>
        <w:t>PGECOLTG178r3_DetailedReview_29Sep2017-final1.pdf</w:t>
      </w:r>
      <w:r>
        <w:rPr>
          <w:rFonts w:ascii="Arial" w:hAnsi="Arial" w:cs="Arial"/>
          <w:sz w:val="20"/>
          <w:szCs w:val="20"/>
        </w:rPr>
        <w:t xml:space="preserve"> (Issued September 29, 2017)</w:t>
      </w:r>
    </w:p>
    <w:p w14:paraId="29EB2F4B" w14:textId="77777777" w:rsidR="005B4E0D" w:rsidRPr="00763FAC" w:rsidRDefault="005B4E0D" w:rsidP="006666F0">
      <w:pPr>
        <w:pStyle w:val="ListParagraph"/>
        <w:numPr>
          <w:ilvl w:val="0"/>
          <w:numId w:val="7"/>
        </w:numPr>
        <w:rPr>
          <w:rFonts w:ascii="Arial" w:hAnsi="Arial" w:cs="Arial"/>
          <w:sz w:val="20"/>
          <w:szCs w:val="20"/>
        </w:rPr>
      </w:pPr>
      <w:r w:rsidRPr="00763FAC">
        <w:rPr>
          <w:rFonts w:ascii="Arial" w:hAnsi="Arial" w:cs="Arial"/>
          <w:sz w:val="20"/>
          <w:szCs w:val="20"/>
        </w:rPr>
        <w:t>High Bay Fixtures Disposition.pdf</w:t>
      </w:r>
      <w:r>
        <w:rPr>
          <w:rFonts w:ascii="Arial" w:hAnsi="Arial" w:cs="Arial"/>
          <w:sz w:val="20"/>
          <w:szCs w:val="20"/>
        </w:rPr>
        <w:t xml:space="preserve"> (Issued March 26, 2018)</w:t>
      </w:r>
    </w:p>
    <w:p w14:paraId="1743D380" w14:textId="77777777" w:rsidR="005B4E0D" w:rsidRDefault="005B4E0D" w:rsidP="00763FAC">
      <w:pPr>
        <w:rPr>
          <w:rFonts w:ascii="Arial" w:hAnsi="Arial" w:cs="Arial"/>
          <w:sz w:val="20"/>
          <w:szCs w:val="20"/>
        </w:rPr>
      </w:pPr>
    </w:p>
    <w:p w14:paraId="73709C44" w14:textId="2197AA93" w:rsidR="00763FAC" w:rsidRDefault="00763FAC" w:rsidP="00763FAC">
      <w:pPr>
        <w:rPr>
          <w:rFonts w:ascii="Arial" w:hAnsi="Arial" w:cs="Arial"/>
          <w:sz w:val="20"/>
          <w:szCs w:val="20"/>
        </w:rPr>
      </w:pPr>
      <w:r w:rsidRPr="00763FAC">
        <w:rPr>
          <w:rFonts w:ascii="Arial" w:hAnsi="Arial" w:cs="Arial"/>
          <w:sz w:val="20"/>
          <w:szCs w:val="20"/>
        </w:rPr>
        <w:t xml:space="preserve">In response to the disposition received on March 26, 2018, PG&amp;E </w:t>
      </w:r>
      <w:r w:rsidR="005B4E0D">
        <w:rPr>
          <w:rFonts w:ascii="Arial" w:hAnsi="Arial" w:cs="Arial"/>
          <w:sz w:val="20"/>
          <w:szCs w:val="20"/>
        </w:rPr>
        <w:t>is resubmitting</w:t>
      </w:r>
      <w:r>
        <w:rPr>
          <w:rFonts w:ascii="Arial" w:hAnsi="Arial" w:cs="Arial"/>
          <w:sz w:val="20"/>
          <w:szCs w:val="20"/>
        </w:rPr>
        <w:t xml:space="preserve"> Revision 3</w:t>
      </w:r>
      <w:r w:rsidR="005B4E0D">
        <w:rPr>
          <w:rFonts w:ascii="Arial" w:hAnsi="Arial" w:cs="Arial"/>
          <w:sz w:val="20"/>
          <w:szCs w:val="20"/>
        </w:rPr>
        <w:t xml:space="preserve"> as an interim solution</w:t>
      </w:r>
      <w:r w:rsidRPr="00763FAC">
        <w:rPr>
          <w:rFonts w:ascii="Arial" w:hAnsi="Arial" w:cs="Arial"/>
          <w:sz w:val="20"/>
          <w:szCs w:val="20"/>
        </w:rPr>
        <w:t xml:space="preserve"> fo</w:t>
      </w:r>
      <w:r>
        <w:rPr>
          <w:rFonts w:ascii="Arial" w:hAnsi="Arial" w:cs="Arial"/>
          <w:sz w:val="20"/>
          <w:szCs w:val="20"/>
        </w:rPr>
        <w:t>r</w:t>
      </w:r>
      <w:r w:rsidRPr="00763FAC">
        <w:rPr>
          <w:rFonts w:ascii="Arial" w:hAnsi="Arial" w:cs="Arial"/>
          <w:sz w:val="20"/>
          <w:szCs w:val="20"/>
        </w:rPr>
        <w:t xml:space="preserve"> </w:t>
      </w:r>
      <w:r w:rsidR="005B4E0D">
        <w:rPr>
          <w:rFonts w:ascii="Arial" w:hAnsi="Arial" w:cs="Arial"/>
          <w:sz w:val="20"/>
          <w:szCs w:val="20"/>
        </w:rPr>
        <w:t xml:space="preserve">PGECOLTG178 LED High-Bay and Low-Bay Fixtures.  Details covering this revision and the next revision (to be submitted </w:t>
      </w:r>
      <w:r w:rsidR="00941175">
        <w:rPr>
          <w:rFonts w:ascii="Arial" w:hAnsi="Arial" w:cs="Arial"/>
          <w:sz w:val="20"/>
          <w:szCs w:val="20"/>
        </w:rPr>
        <w:t>no later than August 31, 2018</w:t>
      </w:r>
      <w:r w:rsidR="005B4E0D">
        <w:rPr>
          <w:rFonts w:ascii="Arial" w:hAnsi="Arial" w:cs="Arial"/>
          <w:sz w:val="20"/>
          <w:szCs w:val="20"/>
        </w:rPr>
        <w:t>) are outlined below:</w:t>
      </w:r>
      <w:r>
        <w:rPr>
          <w:rFonts w:ascii="Arial" w:hAnsi="Arial" w:cs="Arial"/>
          <w:sz w:val="20"/>
          <w:szCs w:val="20"/>
        </w:rPr>
        <w:t xml:space="preserve"> </w:t>
      </w:r>
    </w:p>
    <w:p w14:paraId="5E0A05D9" w14:textId="1B3C97DA" w:rsidR="00763FAC" w:rsidRDefault="00763FAC" w:rsidP="00763FAC">
      <w:pPr>
        <w:rPr>
          <w:rFonts w:ascii="Arial" w:hAnsi="Arial" w:cs="Arial"/>
          <w:sz w:val="20"/>
          <w:szCs w:val="20"/>
        </w:rPr>
      </w:pPr>
    </w:p>
    <w:p w14:paraId="0DD99558" w14:textId="69140399" w:rsidR="00763FAC" w:rsidRPr="00621598" w:rsidRDefault="005B4E0D" w:rsidP="00763FAC">
      <w:pPr>
        <w:rPr>
          <w:rFonts w:ascii="Arial" w:hAnsi="Arial" w:cs="Arial"/>
          <w:b/>
          <w:sz w:val="20"/>
          <w:szCs w:val="20"/>
          <w:u w:val="single"/>
        </w:rPr>
      </w:pPr>
      <w:r>
        <w:rPr>
          <w:rFonts w:ascii="Arial" w:hAnsi="Arial" w:cs="Arial"/>
          <w:b/>
          <w:sz w:val="20"/>
          <w:szCs w:val="20"/>
          <w:u w:val="single"/>
        </w:rPr>
        <w:t xml:space="preserve">Revision 3 Updates </w:t>
      </w:r>
      <w:r w:rsidR="008878B3">
        <w:rPr>
          <w:rFonts w:ascii="Arial" w:hAnsi="Arial" w:cs="Arial"/>
          <w:b/>
          <w:sz w:val="20"/>
          <w:szCs w:val="20"/>
          <w:u w:val="single"/>
        </w:rPr>
        <w:t xml:space="preserve">(considered as the </w:t>
      </w:r>
      <w:r>
        <w:rPr>
          <w:rFonts w:ascii="Arial" w:hAnsi="Arial" w:cs="Arial"/>
          <w:b/>
          <w:sz w:val="20"/>
          <w:szCs w:val="20"/>
          <w:u w:val="single"/>
        </w:rPr>
        <w:t>Interim Solution</w:t>
      </w:r>
      <w:r w:rsidR="008878B3">
        <w:rPr>
          <w:rFonts w:ascii="Arial" w:hAnsi="Arial" w:cs="Arial"/>
          <w:b/>
          <w:sz w:val="20"/>
          <w:szCs w:val="20"/>
          <w:u w:val="single"/>
        </w:rPr>
        <w:t>)</w:t>
      </w:r>
      <w:r w:rsidR="00763FAC" w:rsidRPr="00621598">
        <w:rPr>
          <w:rFonts w:ascii="Arial" w:hAnsi="Arial" w:cs="Arial"/>
          <w:b/>
          <w:sz w:val="20"/>
          <w:szCs w:val="20"/>
          <w:u w:val="single"/>
        </w:rPr>
        <w:t>:</w:t>
      </w:r>
    </w:p>
    <w:p w14:paraId="6F4312E7" w14:textId="0EB3174D" w:rsidR="00763FAC" w:rsidRPr="00DC2719" w:rsidRDefault="008878B3" w:rsidP="006666F0">
      <w:pPr>
        <w:pStyle w:val="ListParagraph"/>
        <w:numPr>
          <w:ilvl w:val="0"/>
          <w:numId w:val="9"/>
        </w:numPr>
        <w:rPr>
          <w:rFonts w:ascii="Arial" w:hAnsi="Arial" w:cs="Arial"/>
          <w:sz w:val="20"/>
          <w:szCs w:val="20"/>
        </w:rPr>
      </w:pPr>
      <w:r w:rsidRPr="00DC2719">
        <w:rPr>
          <w:rFonts w:ascii="Arial" w:hAnsi="Arial" w:cs="Arial"/>
          <w:sz w:val="20"/>
          <w:szCs w:val="20"/>
        </w:rPr>
        <w:t>B</w:t>
      </w:r>
      <w:r w:rsidR="00763FAC" w:rsidRPr="00DC2719">
        <w:rPr>
          <w:rFonts w:ascii="Arial" w:hAnsi="Arial" w:cs="Arial"/>
          <w:sz w:val="20"/>
          <w:szCs w:val="20"/>
        </w:rPr>
        <w:t xml:space="preserve">aseline </w:t>
      </w:r>
      <w:r w:rsidRPr="00DC2719">
        <w:rPr>
          <w:rFonts w:ascii="Arial" w:hAnsi="Arial" w:cs="Arial"/>
          <w:sz w:val="20"/>
          <w:szCs w:val="20"/>
        </w:rPr>
        <w:t xml:space="preserve">percentage </w:t>
      </w:r>
      <w:r w:rsidR="00763FAC" w:rsidRPr="00DC2719">
        <w:rPr>
          <w:rFonts w:ascii="Arial" w:hAnsi="Arial" w:cs="Arial"/>
          <w:sz w:val="20"/>
          <w:szCs w:val="20"/>
        </w:rPr>
        <w:t>mix</w:t>
      </w:r>
      <w:r w:rsidRPr="00DC2719">
        <w:rPr>
          <w:rFonts w:ascii="Arial" w:hAnsi="Arial" w:cs="Arial"/>
          <w:sz w:val="20"/>
          <w:szCs w:val="20"/>
        </w:rPr>
        <w:t>es</w:t>
      </w:r>
      <w:r w:rsidR="00763FAC" w:rsidRPr="00DC2719">
        <w:rPr>
          <w:rFonts w:ascii="Arial" w:hAnsi="Arial" w:cs="Arial"/>
          <w:sz w:val="20"/>
          <w:szCs w:val="20"/>
        </w:rPr>
        <w:t xml:space="preserve"> include LEDs and remove Metal Halides (MH)</w:t>
      </w:r>
    </w:p>
    <w:p w14:paraId="7B39221F" w14:textId="4E231ED6" w:rsidR="00763FAC" w:rsidRPr="0066185B" w:rsidRDefault="00DC2719" w:rsidP="006666F0">
      <w:pPr>
        <w:pStyle w:val="ListParagraph"/>
        <w:numPr>
          <w:ilvl w:val="1"/>
          <w:numId w:val="9"/>
        </w:numPr>
        <w:rPr>
          <w:rFonts w:ascii="Arial" w:hAnsi="Arial" w:cs="Arial"/>
          <w:sz w:val="20"/>
          <w:szCs w:val="20"/>
        </w:rPr>
      </w:pPr>
      <w:r w:rsidRPr="0066185B">
        <w:rPr>
          <w:rFonts w:ascii="Arial" w:hAnsi="Arial" w:cs="Arial"/>
          <w:sz w:val="20"/>
          <w:szCs w:val="20"/>
        </w:rPr>
        <w:t>The</w:t>
      </w:r>
      <w:r w:rsidR="00763FAC" w:rsidRPr="0066185B">
        <w:rPr>
          <w:rFonts w:ascii="Arial" w:hAnsi="Arial" w:cs="Arial"/>
          <w:sz w:val="20"/>
          <w:szCs w:val="20"/>
        </w:rPr>
        <w:t xml:space="preserve"> baseline </w:t>
      </w:r>
      <w:r w:rsidRPr="0066185B">
        <w:rPr>
          <w:rFonts w:ascii="Arial" w:hAnsi="Arial" w:cs="Arial"/>
          <w:sz w:val="20"/>
          <w:szCs w:val="20"/>
        </w:rPr>
        <w:t xml:space="preserve">is </w:t>
      </w:r>
      <w:r w:rsidR="00763FAC" w:rsidRPr="0066185B">
        <w:rPr>
          <w:rFonts w:ascii="Arial" w:hAnsi="Arial" w:cs="Arial"/>
          <w:sz w:val="20"/>
          <w:szCs w:val="20"/>
        </w:rPr>
        <w:t xml:space="preserve">a tiered mix of HPT8 linear fluorescent and LED (using 25th percentile efficacies from Lighting Facts) starting with a higher fluorescent % mix at lower lumen ranges and steadily decreasing to 0% fluorescent at the highest lumen ranges. </w:t>
      </w:r>
    </w:p>
    <w:p w14:paraId="5C76B8E8" w14:textId="30AFCD26" w:rsidR="00763FAC" w:rsidRPr="0066185B" w:rsidRDefault="00DC2719" w:rsidP="006666F0">
      <w:pPr>
        <w:pStyle w:val="ListParagraph"/>
        <w:numPr>
          <w:ilvl w:val="0"/>
          <w:numId w:val="9"/>
        </w:numPr>
        <w:rPr>
          <w:rFonts w:ascii="Arial" w:hAnsi="Arial" w:cs="Arial"/>
          <w:sz w:val="20"/>
          <w:szCs w:val="20"/>
        </w:rPr>
      </w:pPr>
      <w:r w:rsidRPr="0066185B">
        <w:rPr>
          <w:rFonts w:ascii="Arial" w:hAnsi="Arial" w:cs="Arial"/>
          <w:sz w:val="20"/>
          <w:szCs w:val="20"/>
        </w:rPr>
        <w:t xml:space="preserve">Tier 1 and Tier 2 align closely with Lighting Facts 50% percentile efficacies and DLC Premium minimum efficacies as efficacy floors. </w:t>
      </w:r>
    </w:p>
    <w:p w14:paraId="51A075BF" w14:textId="13CF701B" w:rsidR="00763FAC" w:rsidRPr="0066185B" w:rsidRDefault="00763FAC" w:rsidP="006666F0">
      <w:pPr>
        <w:pStyle w:val="ListParagraph"/>
        <w:numPr>
          <w:ilvl w:val="0"/>
          <w:numId w:val="9"/>
        </w:numPr>
        <w:rPr>
          <w:rFonts w:ascii="Arial" w:hAnsi="Arial" w:cs="Arial"/>
          <w:sz w:val="20"/>
          <w:szCs w:val="20"/>
        </w:rPr>
      </w:pPr>
      <w:r w:rsidRPr="0066185B">
        <w:rPr>
          <w:rFonts w:ascii="Arial" w:hAnsi="Arial" w:cs="Arial"/>
          <w:sz w:val="20"/>
          <w:szCs w:val="20"/>
        </w:rPr>
        <w:t>Align technical requirements with DLC Technical Requirements update v4.</w:t>
      </w:r>
      <w:r w:rsidR="00F722A8" w:rsidRPr="0066185B">
        <w:rPr>
          <w:rFonts w:ascii="Arial" w:hAnsi="Arial" w:cs="Arial"/>
          <w:sz w:val="20"/>
          <w:szCs w:val="20"/>
        </w:rPr>
        <w:t>3</w:t>
      </w:r>
    </w:p>
    <w:p w14:paraId="13D1F595" w14:textId="483AF371" w:rsidR="00763FAC" w:rsidRPr="0066185B" w:rsidRDefault="00763FAC" w:rsidP="006666F0">
      <w:pPr>
        <w:pStyle w:val="ListParagraph"/>
        <w:numPr>
          <w:ilvl w:val="0"/>
          <w:numId w:val="9"/>
        </w:numPr>
        <w:rPr>
          <w:rFonts w:ascii="Arial" w:hAnsi="Arial" w:cs="Arial"/>
          <w:sz w:val="20"/>
          <w:szCs w:val="20"/>
        </w:rPr>
      </w:pPr>
      <w:r w:rsidRPr="0066185B">
        <w:rPr>
          <w:rFonts w:ascii="Arial" w:hAnsi="Arial" w:cs="Arial"/>
          <w:sz w:val="20"/>
          <w:szCs w:val="20"/>
        </w:rPr>
        <w:t>Maintain the definition of level of service based on zonal lumen output in the solid angle range defined by the DLC for high bay products: 20 – 50 degrees from nadir.</w:t>
      </w:r>
    </w:p>
    <w:p w14:paraId="78C71CC2" w14:textId="1717EE39" w:rsidR="00763FAC" w:rsidRPr="0066185B" w:rsidRDefault="00763FAC" w:rsidP="006666F0">
      <w:pPr>
        <w:pStyle w:val="ListParagraph"/>
        <w:numPr>
          <w:ilvl w:val="1"/>
          <w:numId w:val="9"/>
        </w:numPr>
        <w:rPr>
          <w:rFonts w:ascii="Arial" w:hAnsi="Arial" w:cs="Arial"/>
          <w:sz w:val="20"/>
          <w:szCs w:val="20"/>
        </w:rPr>
      </w:pPr>
      <w:r w:rsidRPr="0066185B">
        <w:rPr>
          <w:rFonts w:ascii="Arial" w:hAnsi="Arial" w:cs="Arial"/>
          <w:sz w:val="20"/>
          <w:szCs w:val="20"/>
        </w:rPr>
        <w:t xml:space="preserve">This Zonal Lumen method provides the benefit of simple, full data access via the DesignLights Consortium’s Qualified Product List.  </w:t>
      </w:r>
    </w:p>
    <w:p w14:paraId="0C1AB011" w14:textId="68CF1224" w:rsidR="00B16A40" w:rsidRPr="0066185B" w:rsidRDefault="003E04A6" w:rsidP="006666F0">
      <w:pPr>
        <w:pStyle w:val="ListParagraph"/>
        <w:numPr>
          <w:ilvl w:val="0"/>
          <w:numId w:val="9"/>
        </w:numPr>
        <w:rPr>
          <w:rFonts w:ascii="Arial" w:hAnsi="Arial" w:cs="Arial"/>
          <w:sz w:val="20"/>
          <w:szCs w:val="20"/>
        </w:rPr>
      </w:pPr>
      <w:r w:rsidRPr="001F32D3">
        <w:rPr>
          <w:rFonts w:ascii="Arial" w:hAnsi="Arial" w:cs="Arial"/>
          <w:sz w:val="20"/>
          <w:szCs w:val="20"/>
        </w:rPr>
        <w:t>I</w:t>
      </w:r>
      <w:r w:rsidR="00B16A40" w:rsidRPr="0066185B">
        <w:rPr>
          <w:rFonts w:ascii="Arial" w:hAnsi="Arial" w:cs="Arial"/>
          <w:sz w:val="20"/>
          <w:szCs w:val="20"/>
        </w:rPr>
        <w:t>ncremental measure cost</w:t>
      </w:r>
      <w:r w:rsidRPr="001F32D3">
        <w:rPr>
          <w:rFonts w:ascii="Arial" w:hAnsi="Arial" w:cs="Arial"/>
          <w:sz w:val="20"/>
          <w:szCs w:val="20"/>
        </w:rPr>
        <w:t>s</w:t>
      </w:r>
      <w:r w:rsidR="00B16A40" w:rsidRPr="0066185B">
        <w:rPr>
          <w:rFonts w:ascii="Arial" w:hAnsi="Arial" w:cs="Arial"/>
          <w:sz w:val="20"/>
          <w:szCs w:val="20"/>
        </w:rPr>
        <w:t xml:space="preserve"> </w:t>
      </w:r>
      <w:r w:rsidRPr="001F32D3">
        <w:rPr>
          <w:rFonts w:ascii="Arial" w:hAnsi="Arial" w:cs="Arial"/>
          <w:sz w:val="20"/>
          <w:szCs w:val="20"/>
        </w:rPr>
        <w:t>are based on proposed</w:t>
      </w:r>
      <w:r w:rsidR="00B16A40" w:rsidRPr="0066185B">
        <w:rPr>
          <w:rFonts w:ascii="Arial" w:hAnsi="Arial" w:cs="Arial"/>
          <w:sz w:val="20"/>
          <w:szCs w:val="20"/>
        </w:rPr>
        <w:t xml:space="preserve"> rebate values</w:t>
      </w:r>
      <w:r w:rsidR="002E0B3D" w:rsidRPr="001F32D3">
        <w:rPr>
          <w:rFonts w:ascii="Arial" w:hAnsi="Arial" w:cs="Arial"/>
          <w:sz w:val="20"/>
          <w:szCs w:val="20"/>
        </w:rPr>
        <w:t xml:space="preserve"> to be effective upon approval of this workpaper. </w:t>
      </w:r>
      <w:r w:rsidR="006063B8">
        <w:rPr>
          <w:rFonts w:ascii="Arial" w:hAnsi="Arial" w:cs="Arial"/>
          <w:sz w:val="20"/>
          <w:szCs w:val="20"/>
        </w:rPr>
        <w:t xml:space="preserve">These rebate values are lower than those that were in place for Q1 2018.  </w:t>
      </w:r>
      <w:r w:rsidR="002E0B3D" w:rsidRPr="001F32D3">
        <w:rPr>
          <w:rFonts w:ascii="Arial" w:hAnsi="Arial" w:cs="Arial"/>
          <w:sz w:val="20"/>
          <w:szCs w:val="20"/>
        </w:rPr>
        <w:t xml:space="preserve">(Note: PG&amp;E commits to maintain these rebate values for ROB measures until the next major revision </w:t>
      </w:r>
      <w:r w:rsidR="00C65B64">
        <w:rPr>
          <w:rFonts w:ascii="Arial" w:hAnsi="Arial" w:cs="Arial"/>
          <w:sz w:val="20"/>
          <w:szCs w:val="20"/>
        </w:rPr>
        <w:t>that allows us to confidently update IMC data is approved).</w:t>
      </w:r>
    </w:p>
    <w:p w14:paraId="09A73132" w14:textId="77777777" w:rsidR="00763FAC" w:rsidRPr="0066185B" w:rsidRDefault="00763FAC" w:rsidP="00763FAC">
      <w:pPr>
        <w:rPr>
          <w:rFonts w:ascii="Arial" w:hAnsi="Arial" w:cs="Arial"/>
          <w:sz w:val="20"/>
          <w:szCs w:val="20"/>
        </w:rPr>
      </w:pPr>
    </w:p>
    <w:p w14:paraId="6E17023C" w14:textId="31215034" w:rsidR="00763FAC" w:rsidRPr="0066185B" w:rsidRDefault="005B4E0D" w:rsidP="00763FAC">
      <w:pPr>
        <w:rPr>
          <w:rFonts w:ascii="Arial" w:hAnsi="Arial" w:cs="Arial"/>
          <w:b/>
          <w:sz w:val="20"/>
          <w:szCs w:val="20"/>
          <w:u w:val="single"/>
        </w:rPr>
      </w:pPr>
      <w:r w:rsidRPr="0066185B">
        <w:rPr>
          <w:rFonts w:ascii="Arial" w:hAnsi="Arial" w:cs="Arial"/>
          <w:b/>
          <w:sz w:val="20"/>
          <w:szCs w:val="20"/>
          <w:u w:val="single"/>
        </w:rPr>
        <w:t xml:space="preserve">Revision 4 </w:t>
      </w:r>
      <w:r w:rsidR="00DC2719" w:rsidRPr="0066185B">
        <w:rPr>
          <w:rFonts w:ascii="Arial" w:hAnsi="Arial" w:cs="Arial"/>
          <w:b/>
          <w:sz w:val="20"/>
          <w:szCs w:val="20"/>
          <w:u w:val="single"/>
        </w:rPr>
        <w:t>Planned</w:t>
      </w:r>
      <w:r w:rsidRPr="0066185B">
        <w:rPr>
          <w:rFonts w:ascii="Arial" w:hAnsi="Arial" w:cs="Arial"/>
          <w:b/>
          <w:sz w:val="20"/>
          <w:szCs w:val="20"/>
          <w:u w:val="single"/>
        </w:rPr>
        <w:t xml:space="preserve"> Updates</w:t>
      </w:r>
      <w:r w:rsidR="00621598" w:rsidRPr="0066185B">
        <w:rPr>
          <w:rFonts w:ascii="Arial" w:hAnsi="Arial" w:cs="Arial"/>
          <w:b/>
          <w:sz w:val="20"/>
          <w:szCs w:val="20"/>
          <w:u w:val="single"/>
        </w:rPr>
        <w:t>:</w:t>
      </w:r>
    </w:p>
    <w:p w14:paraId="50F24BC5" w14:textId="2E8D6C8E" w:rsidR="002E0B3D" w:rsidRPr="0066185B" w:rsidRDefault="002E0B3D" w:rsidP="006666F0">
      <w:pPr>
        <w:pStyle w:val="ListParagraph"/>
        <w:numPr>
          <w:ilvl w:val="0"/>
          <w:numId w:val="10"/>
        </w:numPr>
        <w:rPr>
          <w:rFonts w:ascii="Arial" w:hAnsi="Arial" w:cs="Arial"/>
          <w:sz w:val="20"/>
          <w:szCs w:val="20"/>
        </w:rPr>
      </w:pPr>
      <w:r w:rsidRPr="001F32D3">
        <w:rPr>
          <w:rFonts w:ascii="Arial" w:hAnsi="Arial" w:cs="Arial"/>
          <w:sz w:val="20"/>
          <w:szCs w:val="20"/>
        </w:rPr>
        <w:t>Include Early Retirement/Accelerated Replacement as a Measure Application Type, and apply a different baseline for New Construction. With the addition of the ER/AR MAT, PG&amp;E intends to offer higher rebates for qualified projects.</w:t>
      </w:r>
    </w:p>
    <w:p w14:paraId="7D881859" w14:textId="77777777" w:rsidR="002E0B3D" w:rsidRPr="0066185B" w:rsidRDefault="002E0B3D" w:rsidP="002E0B3D">
      <w:pPr>
        <w:pStyle w:val="ListParagraph"/>
        <w:numPr>
          <w:ilvl w:val="0"/>
          <w:numId w:val="10"/>
        </w:numPr>
        <w:rPr>
          <w:rFonts w:ascii="Arial" w:hAnsi="Arial" w:cs="Arial"/>
          <w:sz w:val="20"/>
          <w:szCs w:val="20"/>
        </w:rPr>
      </w:pPr>
      <w:r w:rsidRPr="001F32D3">
        <w:rPr>
          <w:rFonts w:ascii="Arial" w:hAnsi="Arial" w:cs="Arial"/>
          <w:sz w:val="20"/>
          <w:szCs w:val="20"/>
        </w:rPr>
        <w:t>Transition to a lumen bin measure structure</w:t>
      </w:r>
    </w:p>
    <w:p w14:paraId="435F1D0A" w14:textId="04859450" w:rsidR="002E0B3D" w:rsidRPr="0066185B" w:rsidRDefault="002E0B3D" w:rsidP="00507FCB">
      <w:pPr>
        <w:pStyle w:val="ListParagraph"/>
        <w:numPr>
          <w:ilvl w:val="1"/>
          <w:numId w:val="10"/>
        </w:numPr>
        <w:rPr>
          <w:rFonts w:ascii="Arial" w:hAnsi="Arial" w:cs="Arial"/>
          <w:sz w:val="20"/>
          <w:szCs w:val="20"/>
        </w:rPr>
      </w:pPr>
      <w:r w:rsidRPr="001F32D3">
        <w:rPr>
          <w:rFonts w:ascii="Arial" w:hAnsi="Arial" w:cs="Arial"/>
          <w:sz w:val="20"/>
          <w:szCs w:val="20"/>
        </w:rPr>
        <w:t>To promote higher efficacy and higher performance products, PG&amp;E intends to offer measures tiered by efficacy, starting at a minimum efficacy level corresponding to DLC Premium Classification, in order to qualify for incentives.</w:t>
      </w:r>
    </w:p>
    <w:p w14:paraId="55AA8290" w14:textId="77777777" w:rsidR="002E0B3D" w:rsidRPr="0066185B" w:rsidRDefault="002E0B3D" w:rsidP="00507FCB">
      <w:pPr>
        <w:ind w:left="720"/>
        <w:rPr>
          <w:rFonts w:ascii="Arial" w:hAnsi="Arial" w:cs="Arial"/>
          <w:sz w:val="20"/>
          <w:szCs w:val="20"/>
        </w:rPr>
      </w:pPr>
    </w:p>
    <w:p w14:paraId="62844321" w14:textId="6F9411DC" w:rsidR="002E0B3D" w:rsidRPr="00C426D4" w:rsidRDefault="002E0B3D" w:rsidP="00507FCB">
      <w:pPr>
        <w:rPr>
          <w:rFonts w:ascii="Arial" w:hAnsi="Arial" w:cs="Arial"/>
          <w:b/>
          <w:sz w:val="20"/>
          <w:szCs w:val="20"/>
          <w:u w:val="single"/>
        </w:rPr>
      </w:pPr>
      <w:r w:rsidRPr="00C426D4">
        <w:rPr>
          <w:rFonts w:ascii="Arial" w:hAnsi="Arial" w:cs="Arial"/>
          <w:b/>
          <w:sz w:val="20"/>
          <w:szCs w:val="20"/>
          <w:u w:val="single"/>
        </w:rPr>
        <w:t>Revision 5 Planned Updates:</w:t>
      </w:r>
    </w:p>
    <w:p w14:paraId="03BDA50C" w14:textId="6F9411DC" w:rsidR="00763FAC" w:rsidRPr="0066185B" w:rsidRDefault="00763FAC" w:rsidP="00507FCB">
      <w:pPr>
        <w:pStyle w:val="ListParagraph"/>
        <w:numPr>
          <w:ilvl w:val="0"/>
          <w:numId w:val="26"/>
        </w:numPr>
        <w:rPr>
          <w:rFonts w:ascii="Arial" w:hAnsi="Arial" w:cs="Arial"/>
          <w:sz w:val="20"/>
          <w:szCs w:val="20"/>
        </w:rPr>
      </w:pPr>
      <w:r w:rsidRPr="0066185B">
        <w:rPr>
          <w:rFonts w:ascii="Arial" w:hAnsi="Arial" w:cs="Arial"/>
          <w:sz w:val="20"/>
          <w:szCs w:val="20"/>
        </w:rPr>
        <w:t>Update the baseline mix with results from Standard Practice Baseline Study</w:t>
      </w:r>
    </w:p>
    <w:p w14:paraId="1D716A8B" w14:textId="6F9411DC" w:rsidR="00763FAC" w:rsidRPr="0066185B" w:rsidRDefault="00763FAC" w:rsidP="00507FCB">
      <w:pPr>
        <w:pStyle w:val="ListParagraph"/>
        <w:numPr>
          <w:ilvl w:val="1"/>
          <w:numId w:val="26"/>
        </w:numPr>
        <w:rPr>
          <w:rFonts w:ascii="Arial" w:hAnsi="Arial" w:cs="Arial"/>
          <w:sz w:val="20"/>
          <w:szCs w:val="20"/>
        </w:rPr>
      </w:pPr>
      <w:r w:rsidRPr="0066185B">
        <w:rPr>
          <w:rFonts w:ascii="Arial" w:hAnsi="Arial" w:cs="Arial"/>
          <w:sz w:val="20"/>
          <w:szCs w:val="20"/>
        </w:rPr>
        <w:t>PG&amp;E is conducting a standard practice baseline study through Navigant to update the baseline technology mix in the workpaper.</w:t>
      </w:r>
    </w:p>
    <w:p w14:paraId="7CE34EBE" w14:textId="6F9411DC" w:rsidR="00763FAC" w:rsidRPr="0066185B" w:rsidRDefault="00763FAC" w:rsidP="00507FCB">
      <w:pPr>
        <w:pStyle w:val="ListParagraph"/>
        <w:numPr>
          <w:ilvl w:val="0"/>
          <w:numId w:val="26"/>
        </w:numPr>
        <w:rPr>
          <w:rFonts w:ascii="Arial" w:hAnsi="Arial" w:cs="Arial"/>
          <w:sz w:val="20"/>
          <w:szCs w:val="20"/>
        </w:rPr>
      </w:pPr>
      <w:r w:rsidRPr="0066185B">
        <w:rPr>
          <w:rFonts w:ascii="Arial" w:hAnsi="Arial" w:cs="Arial"/>
          <w:sz w:val="20"/>
          <w:szCs w:val="20"/>
        </w:rPr>
        <w:t>Collect program data to support annual updates to costs and efficacy levels</w:t>
      </w:r>
    </w:p>
    <w:p w14:paraId="7E9A4B20" w14:textId="6F9411DC" w:rsidR="00763FAC" w:rsidRPr="0066185B" w:rsidRDefault="00763FAC" w:rsidP="00507FCB">
      <w:pPr>
        <w:pStyle w:val="ListParagraph"/>
        <w:numPr>
          <w:ilvl w:val="1"/>
          <w:numId w:val="26"/>
        </w:numPr>
        <w:rPr>
          <w:rFonts w:ascii="Arial" w:hAnsi="Arial" w:cs="Arial"/>
          <w:sz w:val="20"/>
          <w:szCs w:val="20"/>
        </w:rPr>
      </w:pPr>
      <w:r w:rsidRPr="0066185B">
        <w:rPr>
          <w:rFonts w:ascii="Arial" w:hAnsi="Arial" w:cs="Arial"/>
          <w:sz w:val="20"/>
          <w:szCs w:val="20"/>
        </w:rPr>
        <w:t>PG&amp;E will collect product data to help determine whether the median of the wattage/lumen range should be used to calculate savings in future workpaper updates and which measure case efficacy levels should be used to calculate savings.</w:t>
      </w:r>
    </w:p>
    <w:p w14:paraId="03A29A59" w14:textId="18817F4C" w:rsidR="00DC2719" w:rsidRPr="0066185B" w:rsidRDefault="00DC2719" w:rsidP="00507FCB">
      <w:pPr>
        <w:pStyle w:val="ListParagraph"/>
        <w:numPr>
          <w:ilvl w:val="0"/>
          <w:numId w:val="26"/>
        </w:numPr>
        <w:rPr>
          <w:rFonts w:ascii="Arial" w:hAnsi="Arial" w:cs="Arial"/>
          <w:sz w:val="20"/>
          <w:szCs w:val="20"/>
        </w:rPr>
      </w:pPr>
      <w:r w:rsidRPr="0066185B">
        <w:rPr>
          <w:rFonts w:ascii="Arial" w:hAnsi="Arial" w:cs="Arial"/>
          <w:sz w:val="20"/>
          <w:szCs w:val="20"/>
        </w:rPr>
        <w:t>Consider moving away from a 1-to-1 replacement savings calculation methodology and move towards a basis of design methodology.</w:t>
      </w:r>
    </w:p>
    <w:p w14:paraId="29B661E8" w14:textId="77777777" w:rsidR="00212753" w:rsidRPr="00212753" w:rsidRDefault="00212753" w:rsidP="00212753"/>
    <w:p w14:paraId="14EC4051" w14:textId="2F91276A" w:rsidR="0037707D" w:rsidRDefault="00521920" w:rsidP="00872913">
      <w:pPr>
        <w:rPr>
          <w:rFonts w:ascii="Arial" w:hAnsi="Arial" w:cs="Arial"/>
          <w:b/>
          <w:i/>
        </w:rPr>
      </w:pPr>
      <w:bookmarkStart w:id="21" w:name="_Hlk510120442"/>
      <w:r w:rsidRPr="00521920">
        <w:rPr>
          <w:rFonts w:ascii="Arial" w:hAnsi="Arial" w:cs="Arial"/>
          <w:b/>
          <w:i/>
        </w:rPr>
        <w:t>Catalog Description</w:t>
      </w:r>
      <w:r w:rsidR="00476B67">
        <w:rPr>
          <w:rFonts w:ascii="Arial" w:hAnsi="Arial" w:cs="Arial"/>
          <w:b/>
          <w:i/>
        </w:rPr>
        <w:t xml:space="preserve"> </w:t>
      </w:r>
    </w:p>
    <w:p w14:paraId="3FCADEA5" w14:textId="12263C32" w:rsidR="005B5BB4" w:rsidRPr="0072141D" w:rsidRDefault="0037707D" w:rsidP="0072141D">
      <w:pPr>
        <w:rPr>
          <w:rFonts w:ascii="Arial" w:hAnsi="Arial" w:cs="Arial"/>
          <w:b/>
          <w:i/>
          <w:sz w:val="20"/>
        </w:rPr>
      </w:pPr>
      <w:r w:rsidRPr="0008537D">
        <w:rPr>
          <w:rFonts w:ascii="Arial" w:hAnsi="Arial" w:cs="Arial"/>
          <w:sz w:val="20"/>
        </w:rPr>
        <w:t xml:space="preserve">Light Emitting Diode (LED) </w:t>
      </w:r>
      <w:r w:rsidR="00531AF8">
        <w:rPr>
          <w:rFonts w:ascii="Arial" w:hAnsi="Arial" w:cs="Arial"/>
          <w:sz w:val="20"/>
        </w:rPr>
        <w:t xml:space="preserve">High-Bay and Low-bay </w:t>
      </w:r>
      <w:r w:rsidR="00DE6FFB">
        <w:rPr>
          <w:rFonts w:ascii="Arial" w:hAnsi="Arial" w:cs="Arial"/>
          <w:sz w:val="20"/>
        </w:rPr>
        <w:t>Lighting</w:t>
      </w:r>
    </w:p>
    <w:p w14:paraId="2F7FBFEA" w14:textId="77777777" w:rsidR="00C426D4" w:rsidRDefault="00C426D4" w:rsidP="005B5BB4">
      <w:pPr>
        <w:widowControl w:val="0"/>
        <w:autoSpaceDE w:val="0"/>
        <w:autoSpaceDN w:val="0"/>
        <w:adjustRightInd w:val="0"/>
        <w:spacing w:line="360" w:lineRule="auto"/>
        <w:rPr>
          <w:rFonts w:ascii="Arial" w:hAnsi="Arial"/>
          <w:b/>
          <w:color w:val="000000" w:themeColor="text1"/>
        </w:rPr>
      </w:pPr>
    </w:p>
    <w:p w14:paraId="699041D7" w14:textId="77777777" w:rsidR="00C426D4" w:rsidRDefault="00C426D4" w:rsidP="005B5BB4">
      <w:pPr>
        <w:widowControl w:val="0"/>
        <w:autoSpaceDE w:val="0"/>
        <w:autoSpaceDN w:val="0"/>
        <w:adjustRightInd w:val="0"/>
        <w:spacing w:line="360" w:lineRule="auto"/>
        <w:rPr>
          <w:rFonts w:ascii="Arial" w:hAnsi="Arial"/>
          <w:b/>
          <w:color w:val="000000" w:themeColor="text1"/>
        </w:rPr>
      </w:pPr>
    </w:p>
    <w:p w14:paraId="64CC398E" w14:textId="0BB994DB" w:rsidR="005B5BB4" w:rsidRPr="00CC3ABC" w:rsidRDefault="005B5BB4" w:rsidP="005B5BB4">
      <w:pPr>
        <w:widowControl w:val="0"/>
        <w:autoSpaceDE w:val="0"/>
        <w:autoSpaceDN w:val="0"/>
        <w:adjustRightInd w:val="0"/>
        <w:spacing w:line="360" w:lineRule="auto"/>
        <w:rPr>
          <w:rFonts w:ascii="Arial" w:hAnsi="Arial" w:cs="Arial"/>
          <w:b/>
          <w:color w:val="000000"/>
        </w:rPr>
      </w:pPr>
      <w:r w:rsidRPr="1AA8F051">
        <w:rPr>
          <w:rFonts w:ascii="Arial" w:hAnsi="Arial"/>
          <w:b/>
          <w:color w:val="000000" w:themeColor="text1"/>
        </w:rPr>
        <w:lastRenderedPageBreak/>
        <w:t>Requirements:</w:t>
      </w:r>
    </w:p>
    <w:p w14:paraId="7A3B553B" w14:textId="50C898E9" w:rsidR="0037707D" w:rsidRPr="00E351DE" w:rsidRDefault="0037707D" w:rsidP="006666F0">
      <w:pPr>
        <w:widowControl w:val="0"/>
        <w:numPr>
          <w:ilvl w:val="0"/>
          <w:numId w:val="1"/>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 xml:space="preserve">Must replace </w:t>
      </w:r>
      <w:r w:rsidR="00531AF8" w:rsidRPr="1AA8F051">
        <w:rPr>
          <w:rFonts w:ascii="Arial" w:hAnsi="Arial"/>
          <w:color w:val="000000" w:themeColor="text1"/>
          <w:sz w:val="20"/>
        </w:rPr>
        <w:t>a</w:t>
      </w:r>
      <w:r w:rsidR="00D12AFE" w:rsidRPr="1AA8F051">
        <w:rPr>
          <w:rFonts w:ascii="Arial" w:hAnsi="Arial"/>
          <w:color w:val="000000" w:themeColor="text1"/>
          <w:sz w:val="20"/>
        </w:rPr>
        <w:t xml:space="preserve"> </w:t>
      </w:r>
      <w:r w:rsidR="00341B87" w:rsidRPr="1AA8F051">
        <w:rPr>
          <w:rFonts w:ascii="Arial" w:hAnsi="Arial"/>
          <w:color w:val="000000" w:themeColor="text1"/>
          <w:sz w:val="20"/>
        </w:rPr>
        <w:t xml:space="preserve">lumen equivalent lamp/fixture of higher wattage. </w:t>
      </w:r>
      <w:r w:rsidR="00452CA5" w:rsidRPr="1AA8F051">
        <w:rPr>
          <w:rFonts w:ascii="Arial" w:hAnsi="Arial"/>
          <w:color w:val="000000" w:themeColor="text1"/>
          <w:sz w:val="20"/>
        </w:rPr>
        <w:t>(Please refer to Table</w:t>
      </w:r>
      <w:r w:rsidR="00DD12F1" w:rsidRPr="1AA8F051">
        <w:rPr>
          <w:rFonts w:ascii="Arial" w:hAnsi="Arial"/>
          <w:color w:val="000000" w:themeColor="text1"/>
          <w:sz w:val="20"/>
        </w:rPr>
        <w:t xml:space="preserve"> </w:t>
      </w:r>
      <w:r w:rsidR="00452CA5" w:rsidRPr="1AA8F051">
        <w:rPr>
          <w:rFonts w:ascii="Arial" w:hAnsi="Arial"/>
          <w:color w:val="000000" w:themeColor="text1"/>
          <w:sz w:val="20"/>
        </w:rPr>
        <w:t>1)</w:t>
      </w:r>
    </w:p>
    <w:p w14:paraId="5141ABE6" w14:textId="5F793B54" w:rsidR="0044620E" w:rsidRPr="00E351DE" w:rsidRDefault="0037707D" w:rsidP="006666F0">
      <w:pPr>
        <w:widowControl w:val="0"/>
        <w:numPr>
          <w:ilvl w:val="0"/>
          <w:numId w:val="1"/>
        </w:numPr>
        <w:autoSpaceDE w:val="0"/>
        <w:autoSpaceDN w:val="0"/>
        <w:adjustRightInd w:val="0"/>
        <w:spacing w:line="360" w:lineRule="auto"/>
        <w:rPr>
          <w:rFonts w:ascii="Arial" w:hAnsi="Arial" w:cs="Arial"/>
          <w:color w:val="000000"/>
          <w:sz w:val="20"/>
        </w:rPr>
      </w:pPr>
      <w:r w:rsidRPr="00E351DE">
        <w:rPr>
          <w:rFonts w:ascii="Arial" w:hAnsi="Arial" w:cs="Arial"/>
          <w:color w:val="000000"/>
          <w:sz w:val="20"/>
        </w:rPr>
        <w:t xml:space="preserve">Must </w:t>
      </w:r>
      <w:r w:rsidR="00681F38" w:rsidRPr="00E351DE">
        <w:rPr>
          <w:rFonts w:ascii="Arial" w:hAnsi="Arial" w:cs="Arial"/>
          <w:color w:val="000000"/>
          <w:sz w:val="20"/>
        </w:rPr>
        <w:t xml:space="preserve">be on the </w:t>
      </w:r>
      <w:r w:rsidR="00D12AFE" w:rsidRPr="00E351DE">
        <w:rPr>
          <w:rFonts w:ascii="Arial" w:hAnsi="Arial" w:cs="Arial"/>
          <w:color w:val="000000"/>
          <w:sz w:val="20"/>
        </w:rPr>
        <w:t>DesignLights Consortium (DLC)</w:t>
      </w:r>
      <w:r w:rsidR="00681F38" w:rsidRPr="00E351DE">
        <w:rPr>
          <w:rFonts w:ascii="Arial" w:hAnsi="Arial" w:cs="Arial"/>
          <w:color w:val="000000"/>
          <w:sz w:val="20"/>
        </w:rPr>
        <w:t xml:space="preserve"> qualified</w:t>
      </w:r>
      <w:r w:rsidRPr="00E351DE">
        <w:rPr>
          <w:rFonts w:ascii="Arial" w:hAnsi="Arial" w:cs="Arial"/>
          <w:color w:val="000000"/>
          <w:sz w:val="20"/>
        </w:rPr>
        <w:t xml:space="preserve"> </w:t>
      </w:r>
      <w:r w:rsidR="00681F38" w:rsidRPr="00E351DE">
        <w:rPr>
          <w:rFonts w:ascii="Arial" w:hAnsi="Arial" w:cs="Arial"/>
          <w:color w:val="000000"/>
          <w:sz w:val="20"/>
        </w:rPr>
        <w:t xml:space="preserve">product </w:t>
      </w:r>
      <w:r w:rsidRPr="00E351DE">
        <w:rPr>
          <w:rFonts w:ascii="Arial" w:hAnsi="Arial" w:cs="Arial"/>
          <w:color w:val="000000"/>
          <w:sz w:val="20"/>
        </w:rPr>
        <w:t>list</w:t>
      </w:r>
      <w:r w:rsidR="007262A3" w:rsidRPr="00E351DE">
        <w:rPr>
          <w:rFonts w:ascii="Arial" w:hAnsi="Arial" w:cs="Arial"/>
          <w:color w:val="000000"/>
          <w:sz w:val="20"/>
        </w:rPr>
        <w:t xml:space="preserve"> (QPL)</w:t>
      </w:r>
      <w:r w:rsidR="00927AA4" w:rsidRPr="00E351DE">
        <w:rPr>
          <w:rStyle w:val="EndnoteReference"/>
          <w:rFonts w:ascii="Arial" w:hAnsi="Arial" w:cs="Arial"/>
          <w:color w:val="000000"/>
          <w:sz w:val="20"/>
        </w:rPr>
        <w:endnoteReference w:id="2"/>
      </w:r>
    </w:p>
    <w:p w14:paraId="20D80ABA" w14:textId="5ED82451" w:rsidR="009A4AD6" w:rsidRPr="00E351DE" w:rsidRDefault="00CC3ABC" w:rsidP="006666F0">
      <w:pPr>
        <w:widowControl w:val="0"/>
        <w:numPr>
          <w:ilvl w:val="0"/>
          <w:numId w:val="1"/>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Fixtures listed under specialty categories on the DLC QPL</w:t>
      </w:r>
      <w:r w:rsidR="009A4AD6" w:rsidRPr="1AA8F051">
        <w:rPr>
          <w:rFonts w:ascii="Arial" w:hAnsi="Arial"/>
          <w:color w:val="000000" w:themeColor="text1"/>
          <w:sz w:val="20"/>
        </w:rPr>
        <w:t xml:space="preserve"> do not qualify for the deemed rebate.</w:t>
      </w:r>
    </w:p>
    <w:p w14:paraId="0955686F" w14:textId="77777777" w:rsidR="0066185B" w:rsidRPr="0066185B" w:rsidRDefault="0066185B" w:rsidP="006666F0">
      <w:pPr>
        <w:widowControl w:val="0"/>
        <w:numPr>
          <w:ilvl w:val="0"/>
          <w:numId w:val="1"/>
        </w:numPr>
        <w:autoSpaceDE w:val="0"/>
        <w:autoSpaceDN w:val="0"/>
        <w:adjustRightInd w:val="0"/>
        <w:spacing w:line="360" w:lineRule="auto"/>
        <w:rPr>
          <w:rFonts w:ascii="Arial" w:hAnsi="Arial" w:cs="Arial"/>
          <w:color w:val="000000"/>
          <w:sz w:val="20"/>
        </w:rPr>
      </w:pPr>
      <w:r>
        <w:rPr>
          <w:rFonts w:ascii="Arial" w:hAnsi="Arial" w:cs="Arial"/>
          <w:sz w:val="20"/>
          <w:szCs w:val="20"/>
        </w:rPr>
        <w:t>Horticultural installations do not qualify for this rebate.</w:t>
      </w:r>
    </w:p>
    <w:p w14:paraId="7B7CD19F" w14:textId="77777777" w:rsidR="0066185B" w:rsidRPr="0066185B" w:rsidRDefault="0066185B" w:rsidP="006666F0">
      <w:pPr>
        <w:widowControl w:val="0"/>
        <w:numPr>
          <w:ilvl w:val="0"/>
          <w:numId w:val="1"/>
        </w:numPr>
        <w:autoSpaceDE w:val="0"/>
        <w:autoSpaceDN w:val="0"/>
        <w:adjustRightInd w:val="0"/>
        <w:spacing w:line="360" w:lineRule="auto"/>
        <w:rPr>
          <w:rFonts w:ascii="Arial" w:hAnsi="Arial" w:cs="Arial"/>
          <w:color w:val="000000"/>
          <w:sz w:val="20"/>
        </w:rPr>
      </w:pPr>
      <w:r>
        <w:rPr>
          <w:rFonts w:ascii="Arial" w:hAnsi="Arial" w:cs="Arial"/>
          <w:sz w:val="20"/>
          <w:szCs w:val="20"/>
        </w:rPr>
        <w:t>Exterior installations do not qualify for this rebate.</w:t>
      </w:r>
    </w:p>
    <w:p w14:paraId="5F6C6CF2" w14:textId="089FF4BE" w:rsidR="0037707D" w:rsidRPr="00E351DE" w:rsidRDefault="0044620E" w:rsidP="006666F0">
      <w:pPr>
        <w:widowControl w:val="0"/>
        <w:numPr>
          <w:ilvl w:val="0"/>
          <w:numId w:val="1"/>
        </w:numPr>
        <w:autoSpaceDE w:val="0"/>
        <w:autoSpaceDN w:val="0"/>
        <w:adjustRightInd w:val="0"/>
        <w:spacing w:line="360" w:lineRule="auto"/>
        <w:rPr>
          <w:rFonts w:ascii="Arial" w:hAnsi="Arial" w:cs="Arial"/>
          <w:color w:val="000000"/>
          <w:sz w:val="20"/>
        </w:rPr>
      </w:pPr>
      <w:r w:rsidRPr="00E351DE">
        <w:rPr>
          <w:rFonts w:ascii="Arial" w:hAnsi="Arial" w:cs="Arial"/>
          <w:sz w:val="20"/>
          <w:szCs w:val="20"/>
        </w:rPr>
        <w:t>Self-ballasted screw-based lamps do not qualify.</w:t>
      </w:r>
      <w:r w:rsidR="00D12AFE" w:rsidRPr="1AA8F051">
        <w:rPr>
          <w:rFonts w:ascii="Arial" w:hAnsi="Arial"/>
          <w:color w:val="000000" w:themeColor="text1"/>
          <w:sz w:val="20"/>
        </w:rPr>
        <w:t xml:space="preserve"> </w:t>
      </w:r>
    </w:p>
    <w:p w14:paraId="54A75634" w14:textId="01C630F5" w:rsidR="0044620E" w:rsidRPr="00CC3ABC" w:rsidRDefault="00622A39" w:rsidP="006666F0">
      <w:pPr>
        <w:widowControl w:val="0"/>
        <w:numPr>
          <w:ilvl w:val="0"/>
          <w:numId w:val="1"/>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 xml:space="preserve">Must meet the </w:t>
      </w:r>
      <w:r w:rsidR="00341B87" w:rsidRPr="1AA8F051">
        <w:rPr>
          <w:rFonts w:ascii="Arial" w:hAnsi="Arial"/>
          <w:color w:val="000000" w:themeColor="text1"/>
          <w:sz w:val="20"/>
        </w:rPr>
        <w:t>m</w:t>
      </w:r>
      <w:r w:rsidRPr="1AA8F051">
        <w:rPr>
          <w:rFonts w:ascii="Arial" w:hAnsi="Arial"/>
          <w:color w:val="000000" w:themeColor="text1"/>
          <w:sz w:val="20"/>
        </w:rPr>
        <w:t xml:space="preserve">inimum </w:t>
      </w:r>
      <w:r w:rsidR="00341B87" w:rsidRPr="1AA8F051">
        <w:rPr>
          <w:rFonts w:ascii="Arial" w:hAnsi="Arial"/>
          <w:color w:val="000000" w:themeColor="text1"/>
          <w:sz w:val="20"/>
        </w:rPr>
        <w:t>efficacy and w</w:t>
      </w:r>
      <w:r w:rsidRPr="1AA8F051">
        <w:rPr>
          <w:rFonts w:ascii="Arial" w:hAnsi="Arial"/>
          <w:color w:val="000000" w:themeColor="text1"/>
          <w:sz w:val="20"/>
        </w:rPr>
        <w:t xml:space="preserve">attage </w:t>
      </w:r>
      <w:r w:rsidR="00CC3ABC" w:rsidRPr="1AA8F051">
        <w:rPr>
          <w:rFonts w:ascii="Arial" w:hAnsi="Arial"/>
          <w:color w:val="000000" w:themeColor="text1"/>
          <w:sz w:val="20"/>
        </w:rPr>
        <w:t>range</w:t>
      </w:r>
      <w:r w:rsidRPr="1AA8F051">
        <w:rPr>
          <w:rFonts w:ascii="Arial" w:hAnsi="Arial"/>
          <w:color w:val="000000" w:themeColor="text1"/>
          <w:sz w:val="20"/>
        </w:rPr>
        <w:t xml:space="preserve"> listed for the appropriate </w:t>
      </w:r>
      <w:r w:rsidR="00341B87" w:rsidRPr="1AA8F051">
        <w:rPr>
          <w:rFonts w:ascii="Arial" w:hAnsi="Arial"/>
          <w:color w:val="000000" w:themeColor="text1"/>
          <w:sz w:val="20"/>
        </w:rPr>
        <w:t>measure codes</w:t>
      </w:r>
      <w:r w:rsidRPr="1AA8F051">
        <w:rPr>
          <w:rFonts w:ascii="Arial" w:hAnsi="Arial"/>
          <w:color w:val="000000" w:themeColor="text1"/>
          <w:sz w:val="20"/>
        </w:rPr>
        <w:t xml:space="preserve"> in Table 1.</w:t>
      </w:r>
    </w:p>
    <w:p w14:paraId="133437E3" w14:textId="77777777" w:rsidR="00787460" w:rsidRPr="002B40BA" w:rsidRDefault="00787460" w:rsidP="00787460">
      <w:pPr>
        <w:pStyle w:val="Caption"/>
        <w:ind w:left="288"/>
        <w:rPr>
          <w:highlight w:val="yellow"/>
        </w:rPr>
      </w:pPr>
    </w:p>
    <w:p w14:paraId="32A2EC3F" w14:textId="37F8A8D6" w:rsidR="00DD12F1" w:rsidRPr="00437479" w:rsidRDefault="00DD12F1" w:rsidP="002B40BA">
      <w:pPr>
        <w:pStyle w:val="Caption"/>
        <w:ind w:left="288"/>
        <w:jc w:val="center"/>
      </w:pPr>
      <w:bookmarkStart w:id="22" w:name="_Toc511038005"/>
      <w:bookmarkStart w:id="23" w:name="_Toc511244266"/>
      <w:bookmarkStart w:id="24" w:name="_Toc511244291"/>
      <w:bookmarkStart w:id="25" w:name="_Toc511244910"/>
      <w:r w:rsidRPr="00437479">
        <w:t xml:space="preserve">Table </w:t>
      </w:r>
      <w:r w:rsidR="00C426D4">
        <w:fldChar w:fldCharType="begin"/>
      </w:r>
      <w:r w:rsidR="00C426D4">
        <w:instrText xml:space="preserve"> SEQ Table \* ARABIC </w:instrText>
      </w:r>
      <w:r w:rsidR="00C426D4">
        <w:fldChar w:fldCharType="separate"/>
      </w:r>
      <w:r w:rsidR="00E94C25">
        <w:rPr>
          <w:noProof/>
        </w:rPr>
        <w:t>1</w:t>
      </w:r>
      <w:r w:rsidR="00C426D4">
        <w:rPr>
          <w:noProof/>
        </w:rPr>
        <w:fldChar w:fldCharType="end"/>
      </w:r>
      <w:r w:rsidRPr="00437479">
        <w:t xml:space="preserve"> - LED High-Bay and Low-Bay Fixtures Base and Measure Wattages</w:t>
      </w:r>
      <w:bookmarkEnd w:id="22"/>
      <w:bookmarkEnd w:id="23"/>
      <w:bookmarkEnd w:id="24"/>
      <w:bookmarkEnd w:id="25"/>
    </w:p>
    <w:tbl>
      <w:tblPr>
        <w:tblW w:w="45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1030"/>
        <w:gridCol w:w="978"/>
        <w:gridCol w:w="5678"/>
      </w:tblGrid>
      <w:tr w:rsidR="00B53146" w:rsidRPr="002B40BA" w14:paraId="5599825C" w14:textId="16AC5D0D" w:rsidTr="00F722A8">
        <w:trPr>
          <w:trHeight w:val="337"/>
          <w:jc w:val="center"/>
        </w:trPr>
        <w:tc>
          <w:tcPr>
            <w:tcW w:w="1743" w:type="pct"/>
            <w:gridSpan w:val="3"/>
            <w:shd w:val="clear" w:color="auto" w:fill="auto"/>
            <w:vAlign w:val="center"/>
            <w:hideMark/>
          </w:tcPr>
          <w:p w14:paraId="6E49DA98" w14:textId="4D2B4F41" w:rsidR="00B53146" w:rsidRPr="007E3EDF" w:rsidRDefault="00B53146" w:rsidP="00A72135">
            <w:pPr>
              <w:jc w:val="center"/>
              <w:rPr>
                <w:rFonts w:ascii="Arial" w:hAnsi="Arial"/>
                <w:b/>
                <w:color w:val="000000"/>
                <w:sz w:val="20"/>
              </w:rPr>
            </w:pPr>
            <w:r w:rsidRPr="1AA8F051">
              <w:rPr>
                <w:rFonts w:ascii="Arial" w:hAnsi="Arial"/>
                <w:b/>
                <w:color w:val="000000" w:themeColor="text1"/>
                <w:sz w:val="20"/>
              </w:rPr>
              <w:t>Measure Codes</w:t>
            </w:r>
          </w:p>
        </w:tc>
        <w:tc>
          <w:tcPr>
            <w:tcW w:w="3257" w:type="pct"/>
            <w:shd w:val="clear" w:color="auto" w:fill="auto"/>
            <w:vAlign w:val="center"/>
            <w:hideMark/>
          </w:tcPr>
          <w:p w14:paraId="5E9028D0" w14:textId="00600737" w:rsidR="00B53146" w:rsidRPr="007E3EDF" w:rsidRDefault="00B53146" w:rsidP="00A72135">
            <w:pPr>
              <w:jc w:val="center"/>
              <w:rPr>
                <w:rFonts w:ascii="Arial" w:hAnsi="Arial"/>
                <w:b/>
                <w:color w:val="000000"/>
                <w:sz w:val="20"/>
              </w:rPr>
            </w:pPr>
            <w:r w:rsidRPr="1AA8F051">
              <w:rPr>
                <w:rFonts w:ascii="Arial" w:hAnsi="Arial"/>
                <w:b/>
                <w:color w:val="000000" w:themeColor="text1"/>
                <w:sz w:val="20"/>
              </w:rPr>
              <w:t>Measure Description</w:t>
            </w:r>
            <w:r w:rsidR="007E3EDF" w:rsidRPr="1AA8F051">
              <w:rPr>
                <w:rFonts w:ascii="Arial" w:hAnsi="Arial"/>
                <w:b/>
                <w:color w:val="000000" w:themeColor="text1"/>
                <w:sz w:val="20"/>
              </w:rPr>
              <w:t>*</w:t>
            </w:r>
          </w:p>
        </w:tc>
      </w:tr>
      <w:tr w:rsidR="00B53146" w:rsidRPr="002B40BA" w14:paraId="06CDE211" w14:textId="77777777" w:rsidTr="00CD299C">
        <w:trPr>
          <w:trHeight w:val="337"/>
          <w:jc w:val="center"/>
        </w:trPr>
        <w:tc>
          <w:tcPr>
            <w:tcW w:w="591" w:type="pct"/>
            <w:shd w:val="clear" w:color="auto" w:fill="auto"/>
            <w:noWrap/>
            <w:vAlign w:val="center"/>
          </w:tcPr>
          <w:p w14:paraId="6C4BBDA3" w14:textId="32BE13FD" w:rsidR="00B53146" w:rsidRPr="007E3EDF" w:rsidRDefault="00B53146" w:rsidP="00A72135">
            <w:pPr>
              <w:autoSpaceDE w:val="0"/>
              <w:autoSpaceDN w:val="0"/>
              <w:jc w:val="center"/>
              <w:rPr>
                <w:rFonts w:ascii="Arial" w:hAnsi="Arial"/>
                <w:color w:val="000000"/>
                <w:sz w:val="20"/>
              </w:rPr>
            </w:pPr>
            <w:r w:rsidRPr="1AA8F051">
              <w:rPr>
                <w:rFonts w:ascii="Arial" w:hAnsi="Arial"/>
                <w:b/>
                <w:color w:val="000000" w:themeColor="text1"/>
                <w:sz w:val="20"/>
              </w:rPr>
              <w:t>PG&amp;E</w:t>
            </w:r>
          </w:p>
        </w:tc>
        <w:tc>
          <w:tcPr>
            <w:tcW w:w="591" w:type="pct"/>
            <w:vAlign w:val="center"/>
          </w:tcPr>
          <w:p w14:paraId="30B6F7C6" w14:textId="4111B23E" w:rsidR="00B53146" w:rsidRPr="007E3EDF" w:rsidRDefault="00B53146" w:rsidP="00A72135">
            <w:pPr>
              <w:jc w:val="center"/>
              <w:rPr>
                <w:rFonts w:ascii="Arial" w:hAnsi="Arial"/>
                <w:color w:val="000000"/>
                <w:sz w:val="20"/>
              </w:rPr>
            </w:pPr>
            <w:r w:rsidRPr="1AA8F051">
              <w:rPr>
                <w:rFonts w:ascii="Arial" w:hAnsi="Arial"/>
                <w:b/>
                <w:color w:val="000000" w:themeColor="text1"/>
                <w:sz w:val="20"/>
              </w:rPr>
              <w:t>SCE</w:t>
            </w:r>
          </w:p>
        </w:tc>
        <w:tc>
          <w:tcPr>
            <w:tcW w:w="561" w:type="pct"/>
            <w:vAlign w:val="center"/>
          </w:tcPr>
          <w:p w14:paraId="764C2D96" w14:textId="5EEFCC7D" w:rsidR="00B53146" w:rsidRPr="007E3EDF" w:rsidRDefault="00B53146" w:rsidP="00A72135">
            <w:pPr>
              <w:jc w:val="center"/>
              <w:rPr>
                <w:rFonts w:ascii="Arial" w:hAnsi="Arial"/>
                <w:color w:val="000000"/>
                <w:sz w:val="20"/>
              </w:rPr>
            </w:pPr>
            <w:r w:rsidRPr="1AA8F051">
              <w:rPr>
                <w:rFonts w:ascii="Arial" w:hAnsi="Arial"/>
                <w:b/>
                <w:color w:val="000000" w:themeColor="text1"/>
                <w:sz w:val="20"/>
              </w:rPr>
              <w:t>SDG&amp;E</w:t>
            </w:r>
          </w:p>
        </w:tc>
        <w:tc>
          <w:tcPr>
            <w:tcW w:w="3257" w:type="pct"/>
            <w:shd w:val="clear" w:color="auto" w:fill="auto"/>
            <w:noWrap/>
            <w:vAlign w:val="center"/>
          </w:tcPr>
          <w:p w14:paraId="637DB858" w14:textId="77777777" w:rsidR="00B53146" w:rsidRPr="007E3EDF" w:rsidRDefault="00B53146" w:rsidP="00A72135">
            <w:pPr>
              <w:jc w:val="center"/>
              <w:rPr>
                <w:rFonts w:ascii="Arial" w:hAnsi="Arial"/>
                <w:color w:val="000000"/>
                <w:sz w:val="20"/>
              </w:rPr>
            </w:pPr>
          </w:p>
        </w:tc>
      </w:tr>
      <w:tr w:rsidR="007B0C19" w:rsidRPr="002B40BA" w14:paraId="6877EA91" w14:textId="0DE8FF1D" w:rsidTr="008D1D1E">
        <w:trPr>
          <w:trHeight w:val="337"/>
          <w:jc w:val="center"/>
        </w:trPr>
        <w:tc>
          <w:tcPr>
            <w:tcW w:w="591" w:type="pct"/>
            <w:shd w:val="clear" w:color="auto" w:fill="auto"/>
            <w:noWrap/>
            <w:vAlign w:val="bottom"/>
          </w:tcPr>
          <w:p w14:paraId="7D2AF250" w14:textId="632818F1"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LT376</w:t>
            </w:r>
          </w:p>
        </w:tc>
        <w:tc>
          <w:tcPr>
            <w:tcW w:w="591" w:type="pct"/>
            <w:vAlign w:val="center"/>
          </w:tcPr>
          <w:p w14:paraId="1D7E4544" w14:textId="6A02DB59" w:rsidR="007B0C19" w:rsidRPr="007E3EDF" w:rsidRDefault="007B0C19" w:rsidP="007B0C19">
            <w:pPr>
              <w:jc w:val="center"/>
              <w:rPr>
                <w:rFonts w:ascii="Arial" w:hAnsi="Arial"/>
                <w:color w:val="000000"/>
                <w:sz w:val="20"/>
              </w:rPr>
            </w:pPr>
          </w:p>
        </w:tc>
        <w:tc>
          <w:tcPr>
            <w:tcW w:w="561" w:type="pct"/>
            <w:vAlign w:val="center"/>
          </w:tcPr>
          <w:p w14:paraId="0B2CCF0E" w14:textId="39236248"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739EE0AB" w14:textId="3EAA58ED" w:rsidR="007B0C19" w:rsidRPr="007E3EDF" w:rsidRDefault="007B0C19" w:rsidP="007B0C19">
            <w:pPr>
              <w:jc w:val="center"/>
              <w:rPr>
                <w:rFonts w:ascii="Arial" w:hAnsi="Arial"/>
                <w:color w:val="000000"/>
                <w:sz w:val="20"/>
              </w:rPr>
            </w:pPr>
            <w:r>
              <w:rPr>
                <w:rFonts w:ascii="Calibri" w:hAnsi="Calibri"/>
                <w:color w:val="000000"/>
                <w:sz w:val="22"/>
                <w:szCs w:val="22"/>
              </w:rPr>
              <w:t>LED High/Low Bay:  110 LPW to &lt;130 LPW, 0 to &lt;48 W</w:t>
            </w:r>
          </w:p>
        </w:tc>
      </w:tr>
      <w:tr w:rsidR="007B0C19" w:rsidRPr="002B40BA" w14:paraId="05665F2C" w14:textId="2CBAAF6A" w:rsidTr="008D1D1E">
        <w:trPr>
          <w:trHeight w:val="337"/>
          <w:jc w:val="center"/>
        </w:trPr>
        <w:tc>
          <w:tcPr>
            <w:tcW w:w="591" w:type="pct"/>
            <w:shd w:val="clear" w:color="auto" w:fill="auto"/>
            <w:noWrap/>
            <w:vAlign w:val="bottom"/>
          </w:tcPr>
          <w:p w14:paraId="5B6EB3CF" w14:textId="1451B097"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LT377</w:t>
            </w:r>
          </w:p>
        </w:tc>
        <w:tc>
          <w:tcPr>
            <w:tcW w:w="591" w:type="pct"/>
            <w:vAlign w:val="center"/>
          </w:tcPr>
          <w:p w14:paraId="36A79C7C" w14:textId="0AA5C5FE" w:rsidR="007B0C19" w:rsidRPr="007E3EDF" w:rsidRDefault="007B0C19" w:rsidP="007B0C19">
            <w:pPr>
              <w:jc w:val="center"/>
              <w:rPr>
                <w:rFonts w:ascii="Arial" w:hAnsi="Arial"/>
                <w:color w:val="000000"/>
                <w:sz w:val="20"/>
              </w:rPr>
            </w:pPr>
          </w:p>
        </w:tc>
        <w:tc>
          <w:tcPr>
            <w:tcW w:w="561" w:type="pct"/>
            <w:vAlign w:val="center"/>
          </w:tcPr>
          <w:p w14:paraId="6F7E1574" w14:textId="103404C4"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40F5050F" w14:textId="282264ED" w:rsidR="007B0C19" w:rsidRPr="007E3EDF" w:rsidRDefault="007B0C19" w:rsidP="007B0C19">
            <w:pPr>
              <w:jc w:val="center"/>
              <w:rPr>
                <w:rFonts w:ascii="Arial" w:hAnsi="Arial"/>
                <w:color w:val="000000"/>
                <w:sz w:val="20"/>
              </w:rPr>
            </w:pPr>
            <w:r>
              <w:rPr>
                <w:rFonts w:ascii="Calibri" w:hAnsi="Calibri"/>
                <w:color w:val="000000"/>
                <w:sz w:val="22"/>
                <w:szCs w:val="22"/>
              </w:rPr>
              <w:t>LED High/Low Bay:  110 LPW to &lt;130 LPW, 48 to &lt;71 W</w:t>
            </w:r>
          </w:p>
        </w:tc>
      </w:tr>
      <w:tr w:rsidR="007B0C19" w:rsidRPr="002B40BA" w14:paraId="37AF2085" w14:textId="3830BDEC" w:rsidTr="008D1D1E">
        <w:trPr>
          <w:trHeight w:val="337"/>
          <w:jc w:val="center"/>
        </w:trPr>
        <w:tc>
          <w:tcPr>
            <w:tcW w:w="591" w:type="pct"/>
            <w:shd w:val="clear" w:color="auto" w:fill="auto"/>
            <w:noWrap/>
            <w:vAlign w:val="bottom"/>
          </w:tcPr>
          <w:p w14:paraId="435DC864" w14:textId="1CF05EEF"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LT378</w:t>
            </w:r>
          </w:p>
        </w:tc>
        <w:tc>
          <w:tcPr>
            <w:tcW w:w="591" w:type="pct"/>
            <w:vAlign w:val="center"/>
          </w:tcPr>
          <w:p w14:paraId="29A81FAD" w14:textId="14A960E4" w:rsidR="007B0C19" w:rsidRPr="007E3EDF" w:rsidRDefault="007B0C19" w:rsidP="007B0C19">
            <w:pPr>
              <w:jc w:val="center"/>
              <w:rPr>
                <w:rFonts w:ascii="Arial" w:hAnsi="Arial"/>
                <w:color w:val="000000"/>
                <w:sz w:val="20"/>
              </w:rPr>
            </w:pPr>
          </w:p>
        </w:tc>
        <w:tc>
          <w:tcPr>
            <w:tcW w:w="561" w:type="pct"/>
            <w:vAlign w:val="center"/>
          </w:tcPr>
          <w:p w14:paraId="40D90808" w14:textId="572B0D3F"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7FDD8103" w14:textId="4A868FFE"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110 LPW to &lt;130 LPW, 71 to &lt;90 W</w:t>
            </w:r>
          </w:p>
        </w:tc>
      </w:tr>
      <w:tr w:rsidR="007B0C19" w:rsidRPr="002B40BA" w14:paraId="18225C94" w14:textId="4092B997" w:rsidTr="008D1D1E">
        <w:trPr>
          <w:trHeight w:val="337"/>
          <w:jc w:val="center"/>
        </w:trPr>
        <w:tc>
          <w:tcPr>
            <w:tcW w:w="591" w:type="pct"/>
            <w:shd w:val="clear" w:color="auto" w:fill="auto"/>
            <w:noWrap/>
            <w:vAlign w:val="bottom"/>
          </w:tcPr>
          <w:p w14:paraId="547F59D8" w14:textId="4C76B4A4"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LT379</w:t>
            </w:r>
          </w:p>
        </w:tc>
        <w:tc>
          <w:tcPr>
            <w:tcW w:w="591" w:type="pct"/>
            <w:vAlign w:val="center"/>
          </w:tcPr>
          <w:p w14:paraId="2BDE1522" w14:textId="40F6C679" w:rsidR="007B0C19" w:rsidRPr="007E3EDF" w:rsidRDefault="007B0C19" w:rsidP="007B0C19">
            <w:pPr>
              <w:jc w:val="center"/>
              <w:rPr>
                <w:rFonts w:ascii="Arial" w:hAnsi="Arial"/>
                <w:color w:val="000000"/>
                <w:sz w:val="20"/>
              </w:rPr>
            </w:pPr>
          </w:p>
        </w:tc>
        <w:tc>
          <w:tcPr>
            <w:tcW w:w="561" w:type="pct"/>
            <w:vAlign w:val="center"/>
          </w:tcPr>
          <w:p w14:paraId="210AC431" w14:textId="31D3F801"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34A690E8" w14:textId="274EF072"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120 LPW to &lt;130 LPW, 90 to &lt;125 W</w:t>
            </w:r>
          </w:p>
        </w:tc>
      </w:tr>
      <w:tr w:rsidR="007B0C19" w:rsidRPr="002B40BA" w14:paraId="60AFFA6C" w14:textId="4A5635A9" w:rsidTr="008D1D1E">
        <w:trPr>
          <w:trHeight w:val="337"/>
          <w:jc w:val="center"/>
        </w:trPr>
        <w:tc>
          <w:tcPr>
            <w:tcW w:w="591" w:type="pct"/>
            <w:shd w:val="clear" w:color="auto" w:fill="auto"/>
            <w:noWrap/>
            <w:vAlign w:val="bottom"/>
          </w:tcPr>
          <w:p w14:paraId="79466990" w14:textId="00FCCBCD"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LT380</w:t>
            </w:r>
          </w:p>
        </w:tc>
        <w:tc>
          <w:tcPr>
            <w:tcW w:w="591" w:type="pct"/>
            <w:vAlign w:val="center"/>
          </w:tcPr>
          <w:p w14:paraId="2898FC30" w14:textId="5628D9E9" w:rsidR="007B0C19" w:rsidRPr="007E3EDF" w:rsidRDefault="007B0C19" w:rsidP="007B0C19">
            <w:pPr>
              <w:jc w:val="center"/>
              <w:rPr>
                <w:rFonts w:ascii="Arial" w:hAnsi="Arial"/>
                <w:color w:val="000000"/>
                <w:sz w:val="20"/>
              </w:rPr>
            </w:pPr>
          </w:p>
        </w:tc>
        <w:tc>
          <w:tcPr>
            <w:tcW w:w="561" w:type="pct"/>
            <w:vAlign w:val="center"/>
          </w:tcPr>
          <w:p w14:paraId="0E5C939C" w14:textId="01DD79DE"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1D4CA450" w14:textId="1A6B11D8"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120 LPW to &lt;130 LPW, 125 to &lt;153 W</w:t>
            </w:r>
          </w:p>
        </w:tc>
      </w:tr>
      <w:tr w:rsidR="007B0C19" w:rsidRPr="002B40BA" w14:paraId="7EDDBF47" w14:textId="3072C578" w:rsidTr="008D1D1E">
        <w:trPr>
          <w:trHeight w:val="337"/>
          <w:jc w:val="center"/>
        </w:trPr>
        <w:tc>
          <w:tcPr>
            <w:tcW w:w="591" w:type="pct"/>
            <w:shd w:val="clear" w:color="auto" w:fill="auto"/>
            <w:noWrap/>
            <w:vAlign w:val="bottom"/>
          </w:tcPr>
          <w:p w14:paraId="5A26F7FF" w14:textId="7D23313D"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LT381</w:t>
            </w:r>
          </w:p>
        </w:tc>
        <w:tc>
          <w:tcPr>
            <w:tcW w:w="591" w:type="pct"/>
            <w:vAlign w:val="center"/>
          </w:tcPr>
          <w:p w14:paraId="3D209607" w14:textId="783CA432" w:rsidR="007B0C19" w:rsidRPr="007E3EDF" w:rsidRDefault="007B0C19" w:rsidP="007B0C19">
            <w:pPr>
              <w:jc w:val="center"/>
              <w:rPr>
                <w:rFonts w:ascii="Arial" w:hAnsi="Arial"/>
                <w:color w:val="000000"/>
                <w:sz w:val="20"/>
              </w:rPr>
            </w:pPr>
          </w:p>
        </w:tc>
        <w:tc>
          <w:tcPr>
            <w:tcW w:w="561" w:type="pct"/>
            <w:vAlign w:val="center"/>
          </w:tcPr>
          <w:p w14:paraId="208139C7" w14:textId="100F7C4F"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2404C7A8" w14:textId="18984970"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125 LPW to &lt;135 LPW, 153 to &lt;187 W</w:t>
            </w:r>
          </w:p>
        </w:tc>
      </w:tr>
      <w:tr w:rsidR="007B0C19" w:rsidRPr="002B40BA" w14:paraId="736DB911" w14:textId="496B42C6" w:rsidTr="008D1D1E">
        <w:trPr>
          <w:trHeight w:val="337"/>
          <w:jc w:val="center"/>
        </w:trPr>
        <w:tc>
          <w:tcPr>
            <w:tcW w:w="591" w:type="pct"/>
            <w:shd w:val="clear" w:color="auto" w:fill="auto"/>
            <w:noWrap/>
            <w:vAlign w:val="bottom"/>
          </w:tcPr>
          <w:p w14:paraId="1C001157" w14:textId="4A24F316"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LT382</w:t>
            </w:r>
          </w:p>
        </w:tc>
        <w:tc>
          <w:tcPr>
            <w:tcW w:w="591" w:type="pct"/>
            <w:vAlign w:val="center"/>
          </w:tcPr>
          <w:p w14:paraId="734FDB6C" w14:textId="4974093A" w:rsidR="007B0C19" w:rsidRPr="007E3EDF" w:rsidRDefault="007B0C19" w:rsidP="007B0C19">
            <w:pPr>
              <w:jc w:val="center"/>
              <w:rPr>
                <w:rFonts w:ascii="Arial" w:hAnsi="Arial"/>
                <w:color w:val="000000"/>
                <w:sz w:val="20"/>
              </w:rPr>
            </w:pPr>
          </w:p>
        </w:tc>
        <w:tc>
          <w:tcPr>
            <w:tcW w:w="561" w:type="pct"/>
            <w:vAlign w:val="center"/>
          </w:tcPr>
          <w:p w14:paraId="3F9A2A12" w14:textId="26284E48"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49A5E489" w14:textId="2546097B"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125 LPW to &lt;135 LPW, 187 to &lt;212 W</w:t>
            </w:r>
          </w:p>
        </w:tc>
      </w:tr>
      <w:tr w:rsidR="007B0C19" w:rsidRPr="002B40BA" w14:paraId="2FE5BBEC" w14:textId="5A2F128D" w:rsidTr="008D1D1E">
        <w:trPr>
          <w:trHeight w:val="337"/>
          <w:jc w:val="center"/>
        </w:trPr>
        <w:tc>
          <w:tcPr>
            <w:tcW w:w="591" w:type="pct"/>
            <w:shd w:val="clear" w:color="auto" w:fill="auto"/>
            <w:noWrap/>
            <w:vAlign w:val="bottom"/>
          </w:tcPr>
          <w:p w14:paraId="5361B730" w14:textId="068E7706"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LT383</w:t>
            </w:r>
          </w:p>
        </w:tc>
        <w:tc>
          <w:tcPr>
            <w:tcW w:w="591" w:type="pct"/>
            <w:vAlign w:val="center"/>
          </w:tcPr>
          <w:p w14:paraId="2B3955D9" w14:textId="0392C1AD" w:rsidR="007B0C19" w:rsidRPr="007E3EDF" w:rsidRDefault="007B0C19" w:rsidP="007B0C19">
            <w:pPr>
              <w:jc w:val="center"/>
              <w:rPr>
                <w:rFonts w:ascii="Arial" w:hAnsi="Arial"/>
                <w:color w:val="000000"/>
                <w:sz w:val="20"/>
              </w:rPr>
            </w:pPr>
          </w:p>
        </w:tc>
        <w:tc>
          <w:tcPr>
            <w:tcW w:w="561" w:type="pct"/>
            <w:vAlign w:val="center"/>
          </w:tcPr>
          <w:p w14:paraId="5628CA50" w14:textId="59A1B213"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66BD8992" w14:textId="0AE68B94"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125 LPW to &lt;135 LPW, 212 to &lt;246 W</w:t>
            </w:r>
          </w:p>
        </w:tc>
      </w:tr>
      <w:tr w:rsidR="007B0C19" w:rsidRPr="002B40BA" w14:paraId="20389159" w14:textId="7FF6BC53" w:rsidTr="008D1D1E">
        <w:trPr>
          <w:trHeight w:val="337"/>
          <w:jc w:val="center"/>
        </w:trPr>
        <w:tc>
          <w:tcPr>
            <w:tcW w:w="591" w:type="pct"/>
            <w:shd w:val="clear" w:color="auto" w:fill="auto"/>
            <w:noWrap/>
            <w:vAlign w:val="bottom"/>
          </w:tcPr>
          <w:p w14:paraId="1B671C9C" w14:textId="2278E777"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LT384</w:t>
            </w:r>
          </w:p>
        </w:tc>
        <w:tc>
          <w:tcPr>
            <w:tcW w:w="591" w:type="pct"/>
            <w:vAlign w:val="center"/>
          </w:tcPr>
          <w:p w14:paraId="65CA961C" w14:textId="301CC7E4" w:rsidR="007B0C19" w:rsidRPr="007E3EDF" w:rsidRDefault="007B0C19" w:rsidP="007B0C19">
            <w:pPr>
              <w:jc w:val="center"/>
              <w:rPr>
                <w:rFonts w:ascii="Arial" w:hAnsi="Arial"/>
                <w:color w:val="000000"/>
                <w:sz w:val="20"/>
              </w:rPr>
            </w:pPr>
          </w:p>
        </w:tc>
        <w:tc>
          <w:tcPr>
            <w:tcW w:w="561" w:type="pct"/>
            <w:vAlign w:val="center"/>
          </w:tcPr>
          <w:p w14:paraId="1F1005D7" w14:textId="519F4298"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5DC15846" w14:textId="498562B7"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125 LPW to &lt;135 LPW, 246 to &lt;283 W</w:t>
            </w:r>
          </w:p>
        </w:tc>
      </w:tr>
      <w:tr w:rsidR="007B0C19" w:rsidRPr="002B40BA" w14:paraId="22E84C28" w14:textId="1EDCC80D" w:rsidTr="008D1D1E">
        <w:trPr>
          <w:trHeight w:val="337"/>
          <w:jc w:val="center"/>
        </w:trPr>
        <w:tc>
          <w:tcPr>
            <w:tcW w:w="591" w:type="pct"/>
            <w:shd w:val="clear" w:color="auto" w:fill="auto"/>
            <w:noWrap/>
            <w:vAlign w:val="bottom"/>
          </w:tcPr>
          <w:p w14:paraId="352CB60F" w14:textId="1354823F"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LT385</w:t>
            </w:r>
          </w:p>
        </w:tc>
        <w:tc>
          <w:tcPr>
            <w:tcW w:w="591" w:type="pct"/>
            <w:vAlign w:val="center"/>
          </w:tcPr>
          <w:p w14:paraId="636C11DE" w14:textId="5B2D3897" w:rsidR="007B0C19" w:rsidRPr="007E3EDF" w:rsidRDefault="007B0C19" w:rsidP="007B0C19">
            <w:pPr>
              <w:jc w:val="center"/>
              <w:rPr>
                <w:rFonts w:ascii="Arial" w:hAnsi="Arial"/>
                <w:color w:val="000000"/>
                <w:sz w:val="20"/>
              </w:rPr>
            </w:pPr>
          </w:p>
        </w:tc>
        <w:tc>
          <w:tcPr>
            <w:tcW w:w="561" w:type="pct"/>
            <w:vAlign w:val="center"/>
          </w:tcPr>
          <w:p w14:paraId="175674E8" w14:textId="27EDA8A9"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0F51362B" w14:textId="1D28D7EE"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&gt;=130 LPW, 0 to &lt;42 W</w:t>
            </w:r>
          </w:p>
        </w:tc>
      </w:tr>
      <w:tr w:rsidR="007B0C19" w:rsidRPr="002B40BA" w14:paraId="0C033A33" w14:textId="101CDFEB" w:rsidTr="008D1D1E">
        <w:trPr>
          <w:trHeight w:val="337"/>
          <w:jc w:val="center"/>
        </w:trPr>
        <w:tc>
          <w:tcPr>
            <w:tcW w:w="591" w:type="pct"/>
            <w:shd w:val="clear" w:color="auto" w:fill="auto"/>
            <w:noWrap/>
            <w:vAlign w:val="bottom"/>
          </w:tcPr>
          <w:p w14:paraId="44BE6AA1" w14:textId="2C155F57"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LT386</w:t>
            </w:r>
          </w:p>
        </w:tc>
        <w:tc>
          <w:tcPr>
            <w:tcW w:w="591" w:type="pct"/>
            <w:vAlign w:val="center"/>
          </w:tcPr>
          <w:p w14:paraId="5B086897" w14:textId="70E0CC9F" w:rsidR="007B0C19" w:rsidRPr="007E3EDF" w:rsidRDefault="007B0C19" w:rsidP="007B0C19">
            <w:pPr>
              <w:jc w:val="center"/>
              <w:rPr>
                <w:rFonts w:ascii="Arial" w:hAnsi="Arial"/>
                <w:color w:val="000000"/>
                <w:sz w:val="20"/>
              </w:rPr>
            </w:pPr>
          </w:p>
        </w:tc>
        <w:tc>
          <w:tcPr>
            <w:tcW w:w="561" w:type="pct"/>
            <w:vAlign w:val="center"/>
          </w:tcPr>
          <w:p w14:paraId="3CD8CDA5" w14:textId="43F64D83"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580D82FF" w14:textId="42F089F2"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&gt;=130 LPW, 42 to &lt;60 W</w:t>
            </w:r>
          </w:p>
        </w:tc>
      </w:tr>
      <w:tr w:rsidR="007B0C19" w:rsidRPr="002B40BA" w14:paraId="3D31DC6F" w14:textId="6F605DDB" w:rsidTr="008D1D1E">
        <w:trPr>
          <w:trHeight w:val="337"/>
          <w:jc w:val="center"/>
        </w:trPr>
        <w:tc>
          <w:tcPr>
            <w:tcW w:w="591" w:type="pct"/>
            <w:shd w:val="clear" w:color="auto" w:fill="auto"/>
            <w:noWrap/>
            <w:vAlign w:val="bottom"/>
          </w:tcPr>
          <w:p w14:paraId="72DC6A73" w14:textId="4AF745C7"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LT387</w:t>
            </w:r>
          </w:p>
        </w:tc>
        <w:tc>
          <w:tcPr>
            <w:tcW w:w="591" w:type="pct"/>
            <w:vAlign w:val="center"/>
          </w:tcPr>
          <w:p w14:paraId="0209D285" w14:textId="7B16F2CF" w:rsidR="007B0C19" w:rsidRPr="007E3EDF" w:rsidRDefault="007B0C19" w:rsidP="007B0C19">
            <w:pPr>
              <w:jc w:val="center"/>
              <w:rPr>
                <w:rFonts w:ascii="Arial" w:hAnsi="Arial"/>
                <w:color w:val="000000"/>
                <w:sz w:val="20"/>
              </w:rPr>
            </w:pPr>
          </w:p>
        </w:tc>
        <w:tc>
          <w:tcPr>
            <w:tcW w:w="561" w:type="pct"/>
            <w:vAlign w:val="center"/>
          </w:tcPr>
          <w:p w14:paraId="5343B131" w14:textId="6CA14610"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0CECB943" w14:textId="20E8E381" w:rsidR="007B0C19" w:rsidRPr="007E3EDF" w:rsidRDefault="007B0C19" w:rsidP="007B0C19">
            <w:pPr>
              <w:jc w:val="center"/>
              <w:rPr>
                <w:rFonts w:ascii="Arial" w:hAnsi="Arial"/>
                <w:color w:val="000000"/>
                <w:sz w:val="20"/>
              </w:rPr>
            </w:pPr>
            <w:r>
              <w:rPr>
                <w:rFonts w:ascii="Calibri" w:hAnsi="Calibri"/>
                <w:color w:val="000000"/>
                <w:sz w:val="22"/>
                <w:szCs w:val="22"/>
              </w:rPr>
              <w:t>LED High/Low Bay:  &gt;=130 LPW, 60 to &lt;82 W</w:t>
            </w:r>
          </w:p>
        </w:tc>
      </w:tr>
      <w:tr w:rsidR="007B0C19" w:rsidRPr="002B40BA" w14:paraId="08EB2ED9" w14:textId="41A5A27B" w:rsidTr="008D1D1E">
        <w:trPr>
          <w:trHeight w:val="337"/>
          <w:jc w:val="center"/>
        </w:trPr>
        <w:tc>
          <w:tcPr>
            <w:tcW w:w="591" w:type="pct"/>
            <w:shd w:val="clear" w:color="auto" w:fill="auto"/>
            <w:noWrap/>
            <w:vAlign w:val="bottom"/>
          </w:tcPr>
          <w:p w14:paraId="3CE25894" w14:textId="0B3CAD7A"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LT388</w:t>
            </w:r>
          </w:p>
        </w:tc>
        <w:tc>
          <w:tcPr>
            <w:tcW w:w="591" w:type="pct"/>
            <w:vAlign w:val="center"/>
          </w:tcPr>
          <w:p w14:paraId="56919213" w14:textId="3A6DE390" w:rsidR="007B0C19" w:rsidRPr="007E3EDF" w:rsidRDefault="007B0C19" w:rsidP="007B0C19">
            <w:pPr>
              <w:jc w:val="center"/>
              <w:rPr>
                <w:rFonts w:ascii="Arial" w:hAnsi="Arial"/>
                <w:color w:val="000000"/>
                <w:sz w:val="20"/>
              </w:rPr>
            </w:pPr>
          </w:p>
        </w:tc>
        <w:tc>
          <w:tcPr>
            <w:tcW w:w="561" w:type="pct"/>
            <w:vAlign w:val="center"/>
          </w:tcPr>
          <w:p w14:paraId="59A56A79" w14:textId="4DDDF1C9"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526CFFD4" w14:textId="216C967E" w:rsidR="007B0C19" w:rsidRPr="007E3EDF" w:rsidRDefault="007B0C19" w:rsidP="007B0C19">
            <w:pPr>
              <w:jc w:val="center"/>
              <w:rPr>
                <w:rFonts w:ascii="Arial" w:hAnsi="Arial"/>
                <w:color w:val="000000"/>
                <w:sz w:val="20"/>
              </w:rPr>
            </w:pPr>
            <w:r>
              <w:rPr>
                <w:rFonts w:ascii="Calibri" w:hAnsi="Calibri"/>
                <w:color w:val="000000"/>
                <w:sz w:val="22"/>
                <w:szCs w:val="22"/>
              </w:rPr>
              <w:t>LED High/Low Bay:  &gt;=130 LPW, 82 to &lt;113 W</w:t>
            </w:r>
          </w:p>
        </w:tc>
      </w:tr>
      <w:tr w:rsidR="007B0C19" w:rsidRPr="002B40BA" w14:paraId="176D9FD2" w14:textId="4CE55411" w:rsidTr="008D1D1E">
        <w:trPr>
          <w:trHeight w:val="337"/>
          <w:jc w:val="center"/>
        </w:trPr>
        <w:tc>
          <w:tcPr>
            <w:tcW w:w="591" w:type="pct"/>
            <w:shd w:val="clear" w:color="auto" w:fill="auto"/>
            <w:noWrap/>
            <w:vAlign w:val="bottom"/>
          </w:tcPr>
          <w:p w14:paraId="417100E4" w14:textId="31D7CE0E" w:rsidR="007B0C19" w:rsidRPr="007E3EDF" w:rsidRDefault="007B0C19" w:rsidP="007B0C19">
            <w:pPr>
              <w:autoSpaceDE w:val="0"/>
              <w:autoSpaceDN w:val="0"/>
              <w:jc w:val="center"/>
              <w:rPr>
                <w:rFonts w:ascii="Arial" w:hAnsi="Arial"/>
                <w:color w:val="000000"/>
                <w:sz w:val="20"/>
              </w:rPr>
            </w:pPr>
            <w:r>
              <w:rPr>
                <w:rFonts w:ascii="Calibri" w:hAnsi="Calibri"/>
                <w:color w:val="000000"/>
                <w:sz w:val="22"/>
                <w:szCs w:val="22"/>
              </w:rPr>
              <w:t>LT389</w:t>
            </w:r>
          </w:p>
        </w:tc>
        <w:tc>
          <w:tcPr>
            <w:tcW w:w="591" w:type="pct"/>
            <w:vAlign w:val="center"/>
          </w:tcPr>
          <w:p w14:paraId="2355F716" w14:textId="24BFE89A" w:rsidR="007B0C19" w:rsidRPr="007E3EDF" w:rsidRDefault="007B0C19" w:rsidP="007B0C19">
            <w:pPr>
              <w:jc w:val="center"/>
              <w:rPr>
                <w:rFonts w:ascii="Arial" w:hAnsi="Arial"/>
                <w:color w:val="000000"/>
                <w:sz w:val="20"/>
              </w:rPr>
            </w:pPr>
          </w:p>
        </w:tc>
        <w:tc>
          <w:tcPr>
            <w:tcW w:w="561" w:type="pct"/>
            <w:vAlign w:val="center"/>
          </w:tcPr>
          <w:p w14:paraId="28CAB606" w14:textId="299DBC85"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273BFE4D" w14:textId="5DD63650" w:rsidR="007B0C19" w:rsidRPr="007E3EDF" w:rsidRDefault="007B0C19" w:rsidP="007B0C19">
            <w:pPr>
              <w:jc w:val="center"/>
              <w:rPr>
                <w:rFonts w:ascii="Arial" w:eastAsiaTheme="minorHAnsi" w:hAnsi="Arial"/>
                <w:color w:val="000000"/>
                <w:sz w:val="20"/>
              </w:rPr>
            </w:pPr>
            <w:r>
              <w:rPr>
                <w:rFonts w:ascii="Calibri" w:hAnsi="Calibri"/>
                <w:color w:val="000000"/>
                <w:sz w:val="22"/>
                <w:szCs w:val="22"/>
              </w:rPr>
              <w:t>LED High/Low Bay:  &gt;=130 LPW, 113 to &lt;140 W</w:t>
            </w:r>
          </w:p>
        </w:tc>
      </w:tr>
      <w:tr w:rsidR="007B0C19" w:rsidRPr="002B40BA" w14:paraId="0C1371A5" w14:textId="77777777" w:rsidTr="008D1D1E">
        <w:trPr>
          <w:trHeight w:val="337"/>
          <w:jc w:val="center"/>
        </w:trPr>
        <w:tc>
          <w:tcPr>
            <w:tcW w:w="591" w:type="pct"/>
            <w:shd w:val="clear" w:color="auto" w:fill="auto"/>
            <w:noWrap/>
            <w:vAlign w:val="bottom"/>
          </w:tcPr>
          <w:p w14:paraId="6F84B6A3" w14:textId="3F08B36C" w:rsidR="007B0C19" w:rsidRDefault="007B0C19" w:rsidP="007B0C19">
            <w:pPr>
              <w:autoSpaceDE w:val="0"/>
              <w:autoSpaceDN w:val="0"/>
              <w:jc w:val="center"/>
              <w:rPr>
                <w:rFonts w:ascii="Calibri" w:hAnsi="Calibri"/>
                <w:color w:val="000000"/>
                <w:sz w:val="22"/>
                <w:szCs w:val="22"/>
              </w:rPr>
            </w:pPr>
            <w:r>
              <w:rPr>
                <w:rFonts w:ascii="Calibri" w:hAnsi="Calibri"/>
                <w:color w:val="000000"/>
                <w:sz w:val="22"/>
                <w:szCs w:val="22"/>
              </w:rPr>
              <w:t>LT390</w:t>
            </w:r>
          </w:p>
        </w:tc>
        <w:tc>
          <w:tcPr>
            <w:tcW w:w="591" w:type="pct"/>
            <w:vAlign w:val="center"/>
          </w:tcPr>
          <w:p w14:paraId="515F71F1" w14:textId="77777777" w:rsidR="007B0C19" w:rsidRPr="007E3EDF" w:rsidRDefault="007B0C19" w:rsidP="007B0C19">
            <w:pPr>
              <w:jc w:val="center"/>
              <w:rPr>
                <w:rFonts w:ascii="Arial" w:hAnsi="Arial"/>
                <w:color w:val="000000"/>
                <w:sz w:val="20"/>
              </w:rPr>
            </w:pPr>
          </w:p>
        </w:tc>
        <w:tc>
          <w:tcPr>
            <w:tcW w:w="561" w:type="pct"/>
            <w:vAlign w:val="center"/>
          </w:tcPr>
          <w:p w14:paraId="55A30596" w14:textId="77777777"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6A1A3FEE" w14:textId="7DEE9365" w:rsidR="007B0C19" w:rsidRDefault="007B0C19" w:rsidP="007B0C19">
            <w:pPr>
              <w:jc w:val="center"/>
              <w:rPr>
                <w:rFonts w:ascii="Calibri" w:hAnsi="Calibri"/>
                <w:color w:val="000000"/>
                <w:sz w:val="22"/>
                <w:szCs w:val="22"/>
              </w:rPr>
            </w:pPr>
            <w:r>
              <w:rPr>
                <w:rFonts w:ascii="Calibri" w:hAnsi="Calibri"/>
                <w:color w:val="000000"/>
                <w:sz w:val="22"/>
                <w:szCs w:val="22"/>
              </w:rPr>
              <w:t>LED High/Low Bay:  &gt;=135 LPW, 140 to &lt;174 W</w:t>
            </w:r>
          </w:p>
        </w:tc>
      </w:tr>
      <w:tr w:rsidR="007B0C19" w:rsidRPr="002B40BA" w14:paraId="1ECEB828" w14:textId="77777777" w:rsidTr="008D1D1E">
        <w:trPr>
          <w:trHeight w:val="337"/>
          <w:jc w:val="center"/>
        </w:trPr>
        <w:tc>
          <w:tcPr>
            <w:tcW w:w="591" w:type="pct"/>
            <w:shd w:val="clear" w:color="auto" w:fill="auto"/>
            <w:noWrap/>
            <w:vAlign w:val="bottom"/>
          </w:tcPr>
          <w:p w14:paraId="6FD9C217" w14:textId="4BD802E3" w:rsidR="007B0C19" w:rsidRDefault="007B0C19" w:rsidP="007B0C19">
            <w:pPr>
              <w:autoSpaceDE w:val="0"/>
              <w:autoSpaceDN w:val="0"/>
              <w:jc w:val="center"/>
              <w:rPr>
                <w:rFonts w:ascii="Calibri" w:hAnsi="Calibri"/>
                <w:color w:val="000000"/>
                <w:sz w:val="22"/>
                <w:szCs w:val="22"/>
              </w:rPr>
            </w:pPr>
            <w:r>
              <w:rPr>
                <w:rFonts w:ascii="Calibri" w:hAnsi="Calibri"/>
                <w:color w:val="000000"/>
                <w:sz w:val="22"/>
                <w:szCs w:val="22"/>
              </w:rPr>
              <w:t>LT391</w:t>
            </w:r>
          </w:p>
        </w:tc>
        <w:tc>
          <w:tcPr>
            <w:tcW w:w="591" w:type="pct"/>
            <w:vAlign w:val="center"/>
          </w:tcPr>
          <w:p w14:paraId="0FF7D363" w14:textId="77777777" w:rsidR="007B0C19" w:rsidRPr="007E3EDF" w:rsidRDefault="007B0C19" w:rsidP="007B0C19">
            <w:pPr>
              <w:jc w:val="center"/>
              <w:rPr>
                <w:rFonts w:ascii="Arial" w:hAnsi="Arial"/>
                <w:color w:val="000000"/>
                <w:sz w:val="20"/>
              </w:rPr>
            </w:pPr>
          </w:p>
        </w:tc>
        <w:tc>
          <w:tcPr>
            <w:tcW w:w="561" w:type="pct"/>
            <w:vAlign w:val="center"/>
          </w:tcPr>
          <w:p w14:paraId="31752727" w14:textId="77777777"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766BC0C2" w14:textId="44997EF4" w:rsidR="007B0C19" w:rsidRDefault="007B0C19" w:rsidP="007B0C19">
            <w:pPr>
              <w:jc w:val="center"/>
              <w:rPr>
                <w:rFonts w:ascii="Calibri" w:hAnsi="Calibri"/>
                <w:color w:val="000000"/>
                <w:sz w:val="22"/>
                <w:szCs w:val="22"/>
              </w:rPr>
            </w:pPr>
            <w:r>
              <w:rPr>
                <w:rFonts w:ascii="Calibri" w:hAnsi="Calibri"/>
                <w:color w:val="000000"/>
                <w:sz w:val="22"/>
                <w:szCs w:val="22"/>
              </w:rPr>
              <w:t>LED High/Low Bay:  &gt;=135 LPW, 174 to &lt;194 W</w:t>
            </w:r>
          </w:p>
        </w:tc>
      </w:tr>
      <w:tr w:rsidR="007B0C19" w:rsidRPr="002B40BA" w14:paraId="161975A0" w14:textId="77777777" w:rsidTr="008D1D1E">
        <w:trPr>
          <w:trHeight w:val="337"/>
          <w:jc w:val="center"/>
        </w:trPr>
        <w:tc>
          <w:tcPr>
            <w:tcW w:w="591" w:type="pct"/>
            <w:shd w:val="clear" w:color="auto" w:fill="auto"/>
            <w:noWrap/>
            <w:vAlign w:val="bottom"/>
          </w:tcPr>
          <w:p w14:paraId="2E511F7A" w14:textId="38F39156" w:rsidR="007B0C19" w:rsidRDefault="007B0C19" w:rsidP="007B0C19">
            <w:pPr>
              <w:autoSpaceDE w:val="0"/>
              <w:autoSpaceDN w:val="0"/>
              <w:jc w:val="center"/>
              <w:rPr>
                <w:rFonts w:ascii="Calibri" w:hAnsi="Calibri"/>
                <w:color w:val="000000"/>
                <w:sz w:val="22"/>
                <w:szCs w:val="22"/>
              </w:rPr>
            </w:pPr>
            <w:r>
              <w:rPr>
                <w:rFonts w:ascii="Calibri" w:hAnsi="Calibri"/>
                <w:color w:val="000000"/>
                <w:sz w:val="22"/>
                <w:szCs w:val="22"/>
              </w:rPr>
              <w:t>LT392</w:t>
            </w:r>
          </w:p>
        </w:tc>
        <w:tc>
          <w:tcPr>
            <w:tcW w:w="591" w:type="pct"/>
            <w:vAlign w:val="center"/>
          </w:tcPr>
          <w:p w14:paraId="79315C64" w14:textId="77777777" w:rsidR="007B0C19" w:rsidRPr="007E3EDF" w:rsidRDefault="007B0C19" w:rsidP="007B0C19">
            <w:pPr>
              <w:jc w:val="center"/>
              <w:rPr>
                <w:rFonts w:ascii="Arial" w:hAnsi="Arial"/>
                <w:color w:val="000000"/>
                <w:sz w:val="20"/>
              </w:rPr>
            </w:pPr>
          </w:p>
        </w:tc>
        <w:tc>
          <w:tcPr>
            <w:tcW w:w="561" w:type="pct"/>
            <w:vAlign w:val="center"/>
          </w:tcPr>
          <w:p w14:paraId="75B256B2" w14:textId="77777777"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55B4D9EE" w14:textId="4FA83AD2" w:rsidR="007B0C19" w:rsidRDefault="007B0C19" w:rsidP="007B0C19">
            <w:pPr>
              <w:jc w:val="center"/>
              <w:rPr>
                <w:rFonts w:ascii="Calibri" w:hAnsi="Calibri"/>
                <w:color w:val="000000"/>
                <w:sz w:val="22"/>
                <w:szCs w:val="22"/>
              </w:rPr>
            </w:pPr>
            <w:r>
              <w:rPr>
                <w:rFonts w:ascii="Calibri" w:hAnsi="Calibri"/>
                <w:color w:val="000000"/>
                <w:sz w:val="22"/>
                <w:szCs w:val="22"/>
              </w:rPr>
              <w:t>LED High/Low Bay:  &gt;=135 LPW, 194 to &lt;227 W</w:t>
            </w:r>
          </w:p>
        </w:tc>
      </w:tr>
      <w:tr w:rsidR="007B0C19" w:rsidRPr="002B40BA" w14:paraId="0746260E" w14:textId="77777777" w:rsidTr="008D1D1E">
        <w:trPr>
          <w:trHeight w:val="337"/>
          <w:jc w:val="center"/>
        </w:trPr>
        <w:tc>
          <w:tcPr>
            <w:tcW w:w="591" w:type="pct"/>
            <w:shd w:val="clear" w:color="auto" w:fill="auto"/>
            <w:noWrap/>
            <w:vAlign w:val="bottom"/>
          </w:tcPr>
          <w:p w14:paraId="72E12F65" w14:textId="08B6DB98" w:rsidR="007B0C19" w:rsidRDefault="007B0C19" w:rsidP="007B0C19">
            <w:pPr>
              <w:autoSpaceDE w:val="0"/>
              <w:autoSpaceDN w:val="0"/>
              <w:jc w:val="center"/>
              <w:rPr>
                <w:rFonts w:ascii="Calibri" w:hAnsi="Calibri"/>
                <w:color w:val="000000"/>
                <w:sz w:val="22"/>
                <w:szCs w:val="22"/>
              </w:rPr>
            </w:pPr>
            <w:r>
              <w:rPr>
                <w:rFonts w:ascii="Calibri" w:hAnsi="Calibri"/>
                <w:color w:val="000000"/>
                <w:sz w:val="22"/>
                <w:szCs w:val="22"/>
              </w:rPr>
              <w:t>LT393</w:t>
            </w:r>
          </w:p>
        </w:tc>
        <w:tc>
          <w:tcPr>
            <w:tcW w:w="591" w:type="pct"/>
            <w:vAlign w:val="center"/>
          </w:tcPr>
          <w:p w14:paraId="43E4306D" w14:textId="77777777" w:rsidR="007B0C19" w:rsidRPr="007E3EDF" w:rsidRDefault="007B0C19" w:rsidP="007B0C19">
            <w:pPr>
              <w:jc w:val="center"/>
              <w:rPr>
                <w:rFonts w:ascii="Arial" w:hAnsi="Arial"/>
                <w:color w:val="000000"/>
                <w:sz w:val="20"/>
              </w:rPr>
            </w:pPr>
          </w:p>
        </w:tc>
        <w:tc>
          <w:tcPr>
            <w:tcW w:w="561" w:type="pct"/>
            <w:vAlign w:val="center"/>
          </w:tcPr>
          <w:p w14:paraId="24228D75" w14:textId="77777777" w:rsidR="007B0C19" w:rsidRPr="007E3EDF" w:rsidRDefault="007B0C19" w:rsidP="007B0C19">
            <w:pPr>
              <w:jc w:val="center"/>
              <w:rPr>
                <w:rFonts w:ascii="Arial" w:hAnsi="Arial"/>
                <w:color w:val="000000"/>
                <w:sz w:val="20"/>
              </w:rPr>
            </w:pPr>
          </w:p>
        </w:tc>
        <w:tc>
          <w:tcPr>
            <w:tcW w:w="3257" w:type="pct"/>
            <w:shd w:val="clear" w:color="auto" w:fill="auto"/>
            <w:noWrap/>
            <w:vAlign w:val="bottom"/>
          </w:tcPr>
          <w:p w14:paraId="5C997C65" w14:textId="03E55E83" w:rsidR="007B0C19" w:rsidRDefault="007B0C19" w:rsidP="007B0C19">
            <w:pPr>
              <w:jc w:val="center"/>
              <w:rPr>
                <w:rFonts w:ascii="Calibri" w:hAnsi="Calibri"/>
                <w:color w:val="000000"/>
                <w:sz w:val="22"/>
                <w:szCs w:val="22"/>
              </w:rPr>
            </w:pPr>
            <w:r>
              <w:rPr>
                <w:rFonts w:ascii="Calibri" w:hAnsi="Calibri"/>
                <w:color w:val="000000"/>
                <w:sz w:val="22"/>
                <w:szCs w:val="22"/>
              </w:rPr>
              <w:t>LED High/Low Bay:  &gt;=135 LPW, 227 to &lt;262 W</w:t>
            </w:r>
          </w:p>
        </w:tc>
      </w:tr>
    </w:tbl>
    <w:p w14:paraId="59064CFA" w14:textId="7B3C9C3E" w:rsidR="00AF07E7" w:rsidRPr="00437479" w:rsidRDefault="00EA3098" w:rsidP="00CD299C">
      <w:pPr>
        <w:jc w:val="center"/>
        <w:rPr>
          <w:rFonts w:ascii="Arial" w:hAnsi="Arial"/>
          <w:i/>
          <w:sz w:val="16"/>
        </w:rPr>
      </w:pPr>
      <w:r w:rsidRPr="00437479">
        <w:rPr>
          <w:rFonts w:ascii="Arial" w:hAnsi="Arial"/>
          <w:i/>
          <w:sz w:val="16"/>
        </w:rPr>
        <w:t xml:space="preserve">* +/-10% tolerance is applied on the minimum light output as per DLC technical </w:t>
      </w:r>
      <w:r w:rsidRPr="00437479">
        <w:rPr>
          <w:rFonts w:ascii="Arial" w:hAnsi="Arial" w:cs="Arial"/>
          <w:i/>
          <w:sz w:val="16"/>
          <w:szCs w:val="16"/>
        </w:rPr>
        <w:t>requirements</w:t>
      </w:r>
      <w:r w:rsidR="007E3EDF">
        <w:rPr>
          <w:rFonts w:ascii="Arial" w:hAnsi="Arial" w:cs="Arial"/>
          <w:i/>
          <w:sz w:val="16"/>
          <w:szCs w:val="16"/>
        </w:rPr>
        <w:t xml:space="preserve"> V4.</w:t>
      </w:r>
      <w:r w:rsidR="00F722A8">
        <w:rPr>
          <w:rFonts w:ascii="Arial" w:hAnsi="Arial" w:cs="Arial"/>
          <w:i/>
          <w:sz w:val="16"/>
          <w:szCs w:val="16"/>
        </w:rPr>
        <w:t>3</w:t>
      </w:r>
    </w:p>
    <w:p w14:paraId="35628F4A" w14:textId="77777777" w:rsidR="00FD6117" w:rsidRPr="00437479" w:rsidRDefault="00FD6117" w:rsidP="00872913">
      <w:pPr>
        <w:rPr>
          <w:rFonts w:ascii="Arial" w:hAnsi="Arial"/>
          <w:b/>
          <w:i/>
        </w:rPr>
      </w:pPr>
    </w:p>
    <w:p w14:paraId="61C406CF" w14:textId="69B73B15" w:rsidR="00521920" w:rsidRPr="00FF271D" w:rsidRDefault="00521920" w:rsidP="00872913">
      <w:pPr>
        <w:rPr>
          <w:rFonts w:ascii="Arial" w:hAnsi="Arial" w:cs="Arial"/>
          <w:b/>
          <w:i/>
        </w:rPr>
      </w:pPr>
      <w:r w:rsidRPr="00FF271D">
        <w:rPr>
          <w:rFonts w:ascii="Arial" w:hAnsi="Arial" w:cs="Arial"/>
          <w:b/>
          <w:i/>
        </w:rPr>
        <w:t>Program Restrictions and Guidelines</w:t>
      </w:r>
    </w:p>
    <w:p w14:paraId="384613EF" w14:textId="4088C1AF" w:rsidR="00C50281" w:rsidRPr="00FF271D" w:rsidRDefault="005B5BB4" w:rsidP="00C50281">
      <w:pPr>
        <w:rPr>
          <w:rFonts w:ascii="Arial" w:hAnsi="Arial" w:cs="Arial"/>
          <w:sz w:val="20"/>
        </w:rPr>
      </w:pPr>
      <w:r w:rsidRPr="00FF271D">
        <w:rPr>
          <w:rFonts w:ascii="Arial" w:hAnsi="Arial" w:cs="Arial"/>
          <w:sz w:val="20"/>
        </w:rPr>
        <w:t xml:space="preserve">This work paper details the </w:t>
      </w:r>
      <w:r w:rsidR="00CC3ABC" w:rsidRPr="00FF271D">
        <w:rPr>
          <w:rFonts w:ascii="Arial" w:hAnsi="Arial" w:cs="Arial"/>
          <w:sz w:val="20"/>
        </w:rPr>
        <w:t xml:space="preserve">savings associated with implementation of energy efficient </w:t>
      </w:r>
      <w:r w:rsidRPr="00FF271D">
        <w:rPr>
          <w:rFonts w:ascii="Arial" w:hAnsi="Arial" w:cs="Arial"/>
          <w:sz w:val="20"/>
        </w:rPr>
        <w:t xml:space="preserve">LED </w:t>
      </w:r>
      <w:r w:rsidR="00452CA5" w:rsidRPr="00FF271D">
        <w:rPr>
          <w:rFonts w:ascii="Arial" w:hAnsi="Arial" w:cs="Arial"/>
          <w:sz w:val="20"/>
        </w:rPr>
        <w:t>High-Bay</w:t>
      </w:r>
      <w:r w:rsidR="00984EDC" w:rsidRPr="00FF271D">
        <w:rPr>
          <w:rFonts w:ascii="Arial" w:hAnsi="Arial" w:cs="Arial"/>
          <w:sz w:val="20"/>
        </w:rPr>
        <w:t>/Low-Bay</w:t>
      </w:r>
      <w:r w:rsidR="00452CA5" w:rsidRPr="00FF271D">
        <w:rPr>
          <w:rFonts w:ascii="Arial" w:hAnsi="Arial" w:cs="Arial"/>
          <w:sz w:val="20"/>
        </w:rPr>
        <w:t xml:space="preserve"> fixtures</w:t>
      </w:r>
      <w:r w:rsidR="00CC3ABC" w:rsidRPr="00FF271D">
        <w:t xml:space="preserve"> </w:t>
      </w:r>
      <w:r w:rsidR="00CC3ABC" w:rsidRPr="00FF271D">
        <w:rPr>
          <w:rFonts w:ascii="Arial" w:hAnsi="Arial" w:cs="Arial"/>
          <w:sz w:val="20"/>
        </w:rPr>
        <w:t>and retrofit kits.</w:t>
      </w:r>
      <w:r w:rsidR="005649C7" w:rsidRPr="00FF271D">
        <w:rPr>
          <w:rFonts w:ascii="Arial" w:hAnsi="Arial" w:cs="Arial"/>
          <w:sz w:val="20"/>
        </w:rPr>
        <w:t xml:space="preserve"> </w:t>
      </w:r>
      <w:r w:rsidR="00CB4218" w:rsidRPr="00FF271D">
        <w:rPr>
          <w:rFonts w:ascii="Arial" w:hAnsi="Arial" w:cs="Arial"/>
          <w:sz w:val="20"/>
        </w:rPr>
        <w:t>The delivery method</w:t>
      </w:r>
      <w:r w:rsidR="00341B87" w:rsidRPr="00FF271D">
        <w:rPr>
          <w:rFonts w:ascii="Arial" w:hAnsi="Arial" w:cs="Arial"/>
          <w:sz w:val="20"/>
        </w:rPr>
        <w:t>s allowed</w:t>
      </w:r>
      <w:r w:rsidR="00CB4218" w:rsidRPr="00FF271D">
        <w:rPr>
          <w:rFonts w:ascii="Arial" w:hAnsi="Arial" w:cs="Arial"/>
          <w:sz w:val="20"/>
        </w:rPr>
        <w:t xml:space="preserve"> </w:t>
      </w:r>
      <w:r w:rsidR="00341B87" w:rsidRPr="00FF271D">
        <w:rPr>
          <w:rFonts w:ascii="Arial" w:hAnsi="Arial" w:cs="Arial"/>
          <w:sz w:val="20"/>
        </w:rPr>
        <w:t xml:space="preserve">include </w:t>
      </w:r>
      <w:r w:rsidR="00D46E0B" w:rsidRPr="00FF271D">
        <w:rPr>
          <w:rFonts w:ascii="Arial" w:hAnsi="Arial" w:cs="Arial"/>
          <w:sz w:val="20"/>
        </w:rPr>
        <w:t>Downstream</w:t>
      </w:r>
      <w:r w:rsidR="0066185B">
        <w:rPr>
          <w:rFonts w:ascii="Arial" w:hAnsi="Arial" w:cs="Arial"/>
          <w:sz w:val="20"/>
        </w:rPr>
        <w:t>, Mid</w:t>
      </w:r>
      <w:r w:rsidR="00984EDC" w:rsidRPr="00FF271D">
        <w:rPr>
          <w:rFonts w:ascii="Arial" w:hAnsi="Arial" w:cs="Arial"/>
          <w:sz w:val="20"/>
        </w:rPr>
        <w:t>stream</w:t>
      </w:r>
      <w:r w:rsidR="00592BF1" w:rsidRPr="00FF271D">
        <w:rPr>
          <w:rFonts w:ascii="Arial" w:hAnsi="Arial" w:cs="Arial"/>
          <w:sz w:val="20"/>
        </w:rPr>
        <w:t>,</w:t>
      </w:r>
      <w:r w:rsidR="00CB4218" w:rsidRPr="00FF271D">
        <w:rPr>
          <w:rFonts w:ascii="Arial" w:hAnsi="Arial" w:cs="Arial"/>
          <w:sz w:val="20"/>
        </w:rPr>
        <w:t xml:space="preserve"> </w:t>
      </w:r>
      <w:r w:rsidR="00B16195" w:rsidRPr="00FF271D">
        <w:rPr>
          <w:rFonts w:ascii="Arial" w:hAnsi="Arial" w:cs="Arial"/>
          <w:sz w:val="20"/>
        </w:rPr>
        <w:t>and Direct Install</w:t>
      </w:r>
      <w:r w:rsidR="00341B87" w:rsidRPr="00FF271D">
        <w:rPr>
          <w:rFonts w:ascii="Arial" w:hAnsi="Arial" w:cs="Arial"/>
          <w:sz w:val="20"/>
        </w:rPr>
        <w:t xml:space="preserve"> Programs</w:t>
      </w:r>
      <w:r w:rsidR="00B16195" w:rsidRPr="00FF271D">
        <w:rPr>
          <w:rFonts w:ascii="Arial" w:hAnsi="Arial" w:cs="Arial"/>
          <w:sz w:val="20"/>
        </w:rPr>
        <w:t xml:space="preserve"> </w:t>
      </w:r>
      <w:r w:rsidR="00CB4218" w:rsidRPr="00FF271D">
        <w:rPr>
          <w:rFonts w:ascii="Arial" w:hAnsi="Arial" w:cs="Arial"/>
          <w:sz w:val="20"/>
        </w:rPr>
        <w:t xml:space="preserve">for </w:t>
      </w:r>
      <w:r w:rsidR="00341B87" w:rsidRPr="00FF271D">
        <w:rPr>
          <w:rFonts w:ascii="Arial" w:hAnsi="Arial" w:cs="Arial"/>
          <w:sz w:val="20"/>
        </w:rPr>
        <w:t xml:space="preserve">non-residential </w:t>
      </w:r>
      <w:r w:rsidR="00D46E0B" w:rsidRPr="00FF271D">
        <w:rPr>
          <w:rFonts w:ascii="Arial" w:hAnsi="Arial" w:cs="Arial"/>
          <w:sz w:val="20"/>
        </w:rPr>
        <w:t>customers</w:t>
      </w:r>
      <w:r w:rsidR="00CB4218" w:rsidRPr="00FF271D">
        <w:rPr>
          <w:rFonts w:ascii="Arial" w:hAnsi="Arial" w:cs="Arial"/>
          <w:sz w:val="20"/>
        </w:rPr>
        <w:t xml:space="preserve">. </w:t>
      </w:r>
    </w:p>
    <w:p w14:paraId="73777E67" w14:textId="77777777" w:rsidR="00C50281" w:rsidRPr="00FF271D" w:rsidRDefault="00C50281" w:rsidP="00C50281">
      <w:pPr>
        <w:rPr>
          <w:rFonts w:ascii="Arial" w:hAnsi="Arial" w:cs="Arial"/>
          <w:sz w:val="20"/>
        </w:rPr>
      </w:pPr>
    </w:p>
    <w:p w14:paraId="1235CCA3" w14:textId="6717FE41" w:rsidR="00C8399F" w:rsidRPr="00FF271D" w:rsidRDefault="00C50281" w:rsidP="00B16195">
      <w:pPr>
        <w:rPr>
          <w:rFonts w:ascii="Arial" w:hAnsi="Arial" w:cs="Arial"/>
          <w:sz w:val="20"/>
          <w:szCs w:val="20"/>
        </w:rPr>
      </w:pPr>
      <w:r w:rsidRPr="00FF271D">
        <w:rPr>
          <w:rFonts w:ascii="Arial" w:hAnsi="Arial" w:cs="Arial"/>
          <w:sz w:val="20"/>
          <w:szCs w:val="20"/>
        </w:rPr>
        <w:t xml:space="preserve">The LED fixture or retrofit kit must </w:t>
      </w:r>
      <w:r w:rsidR="001416D1" w:rsidRPr="00FF271D">
        <w:rPr>
          <w:rFonts w:ascii="Arial" w:hAnsi="Arial" w:cs="Arial"/>
          <w:sz w:val="20"/>
          <w:szCs w:val="20"/>
        </w:rPr>
        <w:t xml:space="preserve">be </w:t>
      </w:r>
      <w:r w:rsidR="00B16195" w:rsidRPr="00FF271D">
        <w:rPr>
          <w:rFonts w:ascii="Arial" w:hAnsi="Arial" w:cs="Arial"/>
          <w:sz w:val="20"/>
          <w:szCs w:val="20"/>
        </w:rPr>
        <w:t xml:space="preserve">listed </w:t>
      </w:r>
      <w:r w:rsidR="003E1D2A" w:rsidRPr="00FF271D">
        <w:rPr>
          <w:rFonts w:ascii="Arial" w:hAnsi="Arial" w:cs="Arial"/>
          <w:sz w:val="20"/>
          <w:szCs w:val="20"/>
        </w:rPr>
        <w:t>in the technical requirements table (V4.</w:t>
      </w:r>
      <w:r w:rsidR="00F722A8">
        <w:rPr>
          <w:rFonts w:ascii="Arial" w:hAnsi="Arial" w:cs="Arial"/>
          <w:sz w:val="20"/>
          <w:szCs w:val="20"/>
        </w:rPr>
        <w:t>3</w:t>
      </w:r>
      <w:r w:rsidR="003E1D2A" w:rsidRPr="00FF271D">
        <w:rPr>
          <w:rFonts w:ascii="Arial" w:hAnsi="Arial" w:cs="Arial"/>
          <w:sz w:val="20"/>
          <w:szCs w:val="20"/>
        </w:rPr>
        <w:t xml:space="preserve">) </w:t>
      </w:r>
      <w:r w:rsidR="00B16195" w:rsidRPr="00FF271D">
        <w:rPr>
          <w:rFonts w:ascii="Arial" w:hAnsi="Arial" w:cs="Arial"/>
          <w:sz w:val="20"/>
          <w:szCs w:val="20"/>
        </w:rPr>
        <w:t xml:space="preserve">by the </w:t>
      </w:r>
      <w:r w:rsidR="00A0291E" w:rsidRPr="00FF271D">
        <w:rPr>
          <w:rFonts w:ascii="Arial" w:hAnsi="Arial" w:cs="Arial"/>
          <w:sz w:val="20"/>
          <w:szCs w:val="20"/>
        </w:rPr>
        <w:t>Design Lights</w:t>
      </w:r>
      <w:r w:rsidR="00B16195" w:rsidRPr="00FF271D">
        <w:rPr>
          <w:rFonts w:ascii="Arial" w:hAnsi="Arial" w:cs="Arial"/>
          <w:sz w:val="20"/>
          <w:szCs w:val="20"/>
        </w:rPr>
        <w:t xml:space="preserve"> Consortium under th</w:t>
      </w:r>
      <w:r w:rsidR="003E1D2A" w:rsidRPr="00FF271D">
        <w:rPr>
          <w:rFonts w:ascii="Arial" w:hAnsi="Arial" w:cs="Arial"/>
          <w:sz w:val="20"/>
          <w:szCs w:val="20"/>
        </w:rPr>
        <w:t xml:space="preserve">e General </w:t>
      </w:r>
      <w:r w:rsidR="001416D1" w:rsidRPr="00FF271D">
        <w:rPr>
          <w:rFonts w:ascii="Arial" w:hAnsi="Arial" w:cs="Arial"/>
          <w:sz w:val="20"/>
          <w:szCs w:val="20"/>
        </w:rPr>
        <w:t xml:space="preserve">Category </w:t>
      </w:r>
      <w:r w:rsidR="003E1D2A" w:rsidRPr="00FF271D">
        <w:rPr>
          <w:rFonts w:ascii="Arial" w:hAnsi="Arial" w:cs="Arial"/>
          <w:sz w:val="20"/>
          <w:szCs w:val="20"/>
        </w:rPr>
        <w:t>“High Bay</w:t>
      </w:r>
      <w:r w:rsidR="00B16195" w:rsidRPr="00FF271D">
        <w:rPr>
          <w:rFonts w:ascii="Arial" w:hAnsi="Arial" w:cs="Arial"/>
          <w:sz w:val="20"/>
          <w:szCs w:val="20"/>
        </w:rPr>
        <w:t>”</w:t>
      </w:r>
      <w:r w:rsidR="001416D1" w:rsidRPr="00FF271D">
        <w:rPr>
          <w:rFonts w:ascii="Arial" w:hAnsi="Arial" w:cs="Arial"/>
          <w:sz w:val="20"/>
          <w:szCs w:val="20"/>
        </w:rPr>
        <w:t xml:space="preserve"> and under the Primary Use Designations as follow:</w:t>
      </w:r>
      <w:r w:rsidR="003E1D2A" w:rsidRPr="00FF271D">
        <w:rPr>
          <w:rStyle w:val="EndnoteReference"/>
          <w:rFonts w:ascii="Arial" w:hAnsi="Arial" w:cs="Arial"/>
          <w:b/>
          <w:i/>
          <w:sz w:val="16"/>
          <w:szCs w:val="16"/>
        </w:rPr>
        <w:t xml:space="preserve"> </w:t>
      </w:r>
      <w:r w:rsidR="003E1D2A" w:rsidRPr="00FF271D">
        <w:rPr>
          <w:rStyle w:val="EndnoteReference"/>
          <w:rFonts w:ascii="Arial" w:hAnsi="Arial" w:cs="Arial"/>
          <w:b/>
          <w:i/>
          <w:sz w:val="16"/>
          <w:szCs w:val="16"/>
        </w:rPr>
        <w:endnoteReference w:id="3"/>
      </w:r>
      <w:r w:rsidR="003E1D2A" w:rsidRPr="00FF271D">
        <w:rPr>
          <w:rFonts w:ascii="Arial" w:hAnsi="Arial" w:cs="Arial"/>
          <w:b/>
          <w:sz w:val="20"/>
          <w:szCs w:val="20"/>
        </w:rPr>
        <w:t xml:space="preserve"> </w:t>
      </w:r>
    </w:p>
    <w:p w14:paraId="46BD870E" w14:textId="75E98E2C" w:rsidR="001416D1" w:rsidRPr="00FF271D" w:rsidRDefault="001416D1" w:rsidP="006666F0">
      <w:pPr>
        <w:pStyle w:val="ListParagraph"/>
        <w:numPr>
          <w:ilvl w:val="0"/>
          <w:numId w:val="6"/>
        </w:numPr>
        <w:rPr>
          <w:rFonts w:ascii="Arial" w:hAnsi="Arial" w:cs="Arial"/>
          <w:sz w:val="20"/>
          <w:szCs w:val="20"/>
        </w:rPr>
      </w:pPr>
      <w:bookmarkStart w:id="26" w:name="_GoBack"/>
      <w:bookmarkEnd w:id="26"/>
      <w:r w:rsidRPr="00FF271D">
        <w:rPr>
          <w:rFonts w:ascii="Arial" w:hAnsi="Arial" w:cs="Arial"/>
          <w:sz w:val="20"/>
          <w:szCs w:val="20"/>
        </w:rPr>
        <w:t>High-Bay Aisle Luminaires</w:t>
      </w:r>
    </w:p>
    <w:p w14:paraId="7EF0C604" w14:textId="7C27794C" w:rsidR="001416D1" w:rsidRPr="00FF271D" w:rsidRDefault="001416D1" w:rsidP="006666F0">
      <w:pPr>
        <w:pStyle w:val="ListParagraph"/>
        <w:numPr>
          <w:ilvl w:val="0"/>
          <w:numId w:val="6"/>
        </w:numPr>
        <w:rPr>
          <w:rFonts w:ascii="Arial" w:hAnsi="Arial" w:cs="Arial"/>
          <w:sz w:val="20"/>
          <w:szCs w:val="20"/>
        </w:rPr>
      </w:pPr>
      <w:r w:rsidRPr="00FF271D">
        <w:rPr>
          <w:rFonts w:ascii="Arial" w:hAnsi="Arial" w:cs="Arial"/>
          <w:sz w:val="20"/>
          <w:szCs w:val="20"/>
        </w:rPr>
        <w:lastRenderedPageBreak/>
        <w:t>High-Bay Luminaires for Commercial and Industrial Buildings</w:t>
      </w:r>
    </w:p>
    <w:p w14:paraId="4E6B0EE6" w14:textId="635BAEAB" w:rsidR="001416D1" w:rsidRPr="00FF271D" w:rsidRDefault="001416D1" w:rsidP="006666F0">
      <w:pPr>
        <w:pStyle w:val="ListParagraph"/>
        <w:numPr>
          <w:ilvl w:val="0"/>
          <w:numId w:val="6"/>
        </w:numPr>
        <w:rPr>
          <w:rFonts w:ascii="Arial" w:hAnsi="Arial" w:cs="Arial"/>
          <w:sz w:val="20"/>
          <w:szCs w:val="20"/>
        </w:rPr>
      </w:pPr>
      <w:r w:rsidRPr="00FF271D">
        <w:rPr>
          <w:rFonts w:ascii="Arial" w:hAnsi="Arial" w:cs="Arial"/>
          <w:sz w:val="20"/>
          <w:szCs w:val="20"/>
        </w:rPr>
        <w:t>Low-Bay Luminaires for Commercial and Industrial Buildings</w:t>
      </w:r>
    </w:p>
    <w:p w14:paraId="6DDA1B71" w14:textId="6552FBB3" w:rsidR="001416D1" w:rsidRPr="00FF271D" w:rsidRDefault="001416D1" w:rsidP="006666F0">
      <w:pPr>
        <w:pStyle w:val="ListParagraph"/>
        <w:numPr>
          <w:ilvl w:val="0"/>
          <w:numId w:val="6"/>
        </w:numPr>
        <w:rPr>
          <w:rFonts w:ascii="Arial" w:hAnsi="Arial" w:cs="Arial"/>
          <w:sz w:val="20"/>
          <w:szCs w:val="20"/>
        </w:rPr>
      </w:pPr>
      <w:r w:rsidRPr="00FF271D">
        <w:rPr>
          <w:rFonts w:ascii="Arial" w:hAnsi="Arial" w:cs="Arial"/>
          <w:sz w:val="20"/>
          <w:szCs w:val="20"/>
        </w:rPr>
        <w:t>Retrofit Kits for High-Bay Luminaires for Commercial and Industrial Buildings</w:t>
      </w:r>
    </w:p>
    <w:p w14:paraId="108F523F" w14:textId="157A867F" w:rsidR="001416D1" w:rsidRPr="00FF271D" w:rsidRDefault="001416D1" w:rsidP="006666F0">
      <w:pPr>
        <w:pStyle w:val="ListParagraph"/>
        <w:numPr>
          <w:ilvl w:val="0"/>
          <w:numId w:val="6"/>
        </w:numPr>
        <w:rPr>
          <w:rFonts w:ascii="Arial" w:hAnsi="Arial" w:cs="Arial"/>
          <w:sz w:val="20"/>
          <w:szCs w:val="20"/>
        </w:rPr>
      </w:pPr>
      <w:r w:rsidRPr="00FF271D">
        <w:rPr>
          <w:rFonts w:ascii="Arial" w:hAnsi="Arial" w:cs="Arial"/>
          <w:sz w:val="20"/>
          <w:szCs w:val="20"/>
        </w:rPr>
        <w:t>Retrofit Kits for Low-Bay Luminaires for Commercial and Industrial Buildings</w:t>
      </w:r>
    </w:p>
    <w:p w14:paraId="0B063F87" w14:textId="77777777" w:rsidR="00E07918" w:rsidRPr="00FF271D" w:rsidRDefault="00E07918" w:rsidP="00B16195">
      <w:pPr>
        <w:rPr>
          <w:rFonts w:ascii="Arial" w:hAnsi="Arial" w:cs="Arial"/>
          <w:sz w:val="20"/>
        </w:rPr>
      </w:pPr>
    </w:p>
    <w:p w14:paraId="34F85186" w14:textId="23744739" w:rsidR="00C8399F" w:rsidRPr="00FF271D" w:rsidRDefault="00C8399F" w:rsidP="00CB4218">
      <w:pPr>
        <w:rPr>
          <w:rFonts w:ascii="Arial" w:hAnsi="Arial" w:cs="Arial"/>
          <w:sz w:val="20"/>
        </w:rPr>
      </w:pPr>
      <w:r w:rsidRPr="00FF271D">
        <w:rPr>
          <w:rFonts w:ascii="Arial" w:hAnsi="Arial" w:cs="Arial"/>
          <w:sz w:val="20"/>
        </w:rPr>
        <w:t xml:space="preserve">DLC </w:t>
      </w:r>
      <w:r w:rsidR="008E3605" w:rsidRPr="00FF271D">
        <w:rPr>
          <w:rFonts w:ascii="Arial" w:hAnsi="Arial" w:cs="Arial"/>
          <w:sz w:val="20"/>
        </w:rPr>
        <w:t xml:space="preserve">Standard </w:t>
      </w:r>
      <w:r w:rsidRPr="00FF271D">
        <w:rPr>
          <w:rFonts w:ascii="Arial" w:hAnsi="Arial" w:cs="Arial"/>
          <w:sz w:val="20"/>
        </w:rPr>
        <w:t>requirements for the high-bay and low-bay categories include:</w:t>
      </w:r>
    </w:p>
    <w:p w14:paraId="355C4005" w14:textId="77777777"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5-year warranty</w:t>
      </w:r>
    </w:p>
    <w:p w14:paraId="2F10DE74" w14:textId="43D081DD"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5</w:t>
      </w:r>
      <w:r w:rsidR="00B16195" w:rsidRPr="00FF271D">
        <w:rPr>
          <w:rFonts w:ascii="Arial" w:hAnsi="Arial" w:cs="Arial"/>
          <w:sz w:val="20"/>
        </w:rPr>
        <w:t>0</w:t>
      </w:r>
      <w:r w:rsidRPr="00FF271D">
        <w:rPr>
          <w:rFonts w:ascii="Arial" w:hAnsi="Arial" w:cs="Arial"/>
          <w:sz w:val="20"/>
        </w:rPr>
        <w:t>,000</w:t>
      </w:r>
      <w:r w:rsidR="005649C7" w:rsidRPr="00FF271D">
        <w:rPr>
          <w:rFonts w:ascii="Arial" w:hAnsi="Arial" w:cs="Arial"/>
          <w:sz w:val="20"/>
        </w:rPr>
        <w:t>-</w:t>
      </w:r>
      <w:r w:rsidRPr="00FF271D">
        <w:rPr>
          <w:rFonts w:ascii="Arial" w:hAnsi="Arial" w:cs="Arial"/>
          <w:sz w:val="20"/>
        </w:rPr>
        <w:t>hour L</w:t>
      </w:r>
      <w:r w:rsidRPr="00FF271D">
        <w:rPr>
          <w:rFonts w:ascii="Arial" w:hAnsi="Arial" w:cs="Arial"/>
          <w:sz w:val="20"/>
          <w:vertAlign w:val="subscript"/>
        </w:rPr>
        <w:t>70</w:t>
      </w:r>
      <w:r w:rsidRPr="00FF271D">
        <w:rPr>
          <w:rFonts w:ascii="Arial" w:hAnsi="Arial" w:cs="Arial"/>
          <w:sz w:val="20"/>
        </w:rPr>
        <w:t xml:space="preserve"> Lumen Maintenance</w:t>
      </w:r>
    </w:p>
    <w:p w14:paraId="3532CB6D" w14:textId="77777777"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 70 Color Rendering Index (CRI)</w:t>
      </w:r>
    </w:p>
    <w:p w14:paraId="78B2F2C8" w14:textId="5D10DC3C"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 xml:space="preserve">≥ </w:t>
      </w:r>
      <w:r w:rsidR="00B16195" w:rsidRPr="00FF271D">
        <w:rPr>
          <w:rFonts w:ascii="Arial" w:hAnsi="Arial" w:cs="Arial"/>
          <w:sz w:val="20"/>
        </w:rPr>
        <w:t>105</w:t>
      </w:r>
      <w:r w:rsidR="00B92560" w:rsidRPr="00FF271D">
        <w:rPr>
          <w:rFonts w:ascii="Arial" w:hAnsi="Arial" w:cs="Arial"/>
          <w:sz w:val="20"/>
        </w:rPr>
        <w:t xml:space="preserve"> </w:t>
      </w:r>
      <w:r w:rsidRPr="00FF271D">
        <w:rPr>
          <w:rFonts w:ascii="Arial" w:hAnsi="Arial" w:cs="Arial"/>
          <w:sz w:val="20"/>
        </w:rPr>
        <w:t>lumens/Watt</w:t>
      </w:r>
      <w:r w:rsidR="008E3605" w:rsidRPr="00FF271D">
        <w:rPr>
          <w:rFonts w:ascii="Arial" w:hAnsi="Arial" w:cs="Arial"/>
          <w:sz w:val="20"/>
        </w:rPr>
        <w:t xml:space="preserve"> (LPW)</w:t>
      </w:r>
      <w:r w:rsidR="00CC3ABC" w:rsidRPr="00FF271D">
        <w:rPr>
          <w:rFonts w:ascii="Arial" w:hAnsi="Arial" w:cs="Arial"/>
          <w:sz w:val="20"/>
        </w:rPr>
        <w:t>*</w:t>
      </w:r>
    </w:p>
    <w:p w14:paraId="0418C8DD" w14:textId="77777777"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 5700 Kelvin Correlated Color Temperature (CCT)</w:t>
      </w:r>
    </w:p>
    <w:p w14:paraId="45DE7078" w14:textId="266BBDCE"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 5,000 Lumen light output</w:t>
      </w:r>
      <w:r w:rsidR="00203161" w:rsidRPr="00FF271D">
        <w:rPr>
          <w:rFonts w:ascii="Arial" w:hAnsi="Arial" w:cs="Arial"/>
          <w:sz w:val="20"/>
        </w:rPr>
        <w:t xml:space="preserve"> +/- 10%</w:t>
      </w:r>
    </w:p>
    <w:p w14:paraId="018D8F8D" w14:textId="77777777" w:rsidR="00C8399F" w:rsidRPr="00FF271D" w:rsidRDefault="00C8399F" w:rsidP="006666F0">
      <w:pPr>
        <w:pStyle w:val="ListParagraph"/>
        <w:numPr>
          <w:ilvl w:val="0"/>
          <w:numId w:val="3"/>
        </w:numPr>
        <w:rPr>
          <w:rFonts w:ascii="Arial" w:hAnsi="Arial" w:cs="Arial"/>
          <w:sz w:val="20"/>
        </w:rPr>
      </w:pPr>
      <w:r w:rsidRPr="00FF271D">
        <w:rPr>
          <w:rFonts w:ascii="Arial" w:hAnsi="Arial" w:cs="Arial"/>
          <w:sz w:val="20"/>
        </w:rPr>
        <w:t>≥ 30% of Lumen Output in the 20° - 50° zone (higher for Aisle Lighting)</w:t>
      </w:r>
    </w:p>
    <w:p w14:paraId="1069F26D" w14:textId="619458BB" w:rsidR="00212753" w:rsidRPr="00FF271D" w:rsidRDefault="00212753" w:rsidP="00E26DD6"/>
    <w:p w14:paraId="069E3EBD" w14:textId="24C93A48" w:rsidR="008E3605" w:rsidRPr="00FF271D" w:rsidRDefault="008E3605" w:rsidP="008E3605">
      <w:pPr>
        <w:rPr>
          <w:rFonts w:ascii="Arial" w:hAnsi="Arial" w:cs="Arial"/>
          <w:sz w:val="20"/>
        </w:rPr>
      </w:pPr>
      <w:r w:rsidRPr="00FF271D">
        <w:rPr>
          <w:rFonts w:ascii="Arial" w:hAnsi="Arial" w:cs="Arial"/>
          <w:sz w:val="20"/>
        </w:rPr>
        <w:t>DLC Premium requirements for the high-bay and low-bay categories include:</w:t>
      </w:r>
    </w:p>
    <w:p w14:paraId="7FD97A13" w14:textId="77777777"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5-year warranty</w:t>
      </w:r>
    </w:p>
    <w:p w14:paraId="552D2B8E" w14:textId="722153A0"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36,000/50,000</w:t>
      </w:r>
      <w:r w:rsidR="005649C7" w:rsidRPr="00FF271D">
        <w:rPr>
          <w:rFonts w:ascii="Arial" w:hAnsi="Arial" w:cs="Arial"/>
          <w:sz w:val="20"/>
        </w:rPr>
        <w:t>-</w:t>
      </w:r>
      <w:r w:rsidRPr="00FF271D">
        <w:rPr>
          <w:rFonts w:ascii="Arial" w:hAnsi="Arial" w:cs="Arial"/>
          <w:sz w:val="20"/>
        </w:rPr>
        <w:t>hour L</w:t>
      </w:r>
      <w:r w:rsidRPr="00FF271D">
        <w:rPr>
          <w:rFonts w:ascii="Arial" w:hAnsi="Arial" w:cs="Arial"/>
          <w:sz w:val="20"/>
          <w:vertAlign w:val="subscript"/>
        </w:rPr>
        <w:t>90</w:t>
      </w:r>
      <w:r w:rsidRPr="00FF271D">
        <w:rPr>
          <w:rFonts w:ascii="Arial" w:hAnsi="Arial" w:cs="Arial"/>
          <w:sz w:val="20"/>
        </w:rPr>
        <w:t>/L</w:t>
      </w:r>
      <w:r w:rsidRPr="00FF271D">
        <w:rPr>
          <w:rFonts w:ascii="Arial" w:hAnsi="Arial" w:cs="Arial"/>
          <w:sz w:val="20"/>
          <w:vertAlign w:val="subscript"/>
        </w:rPr>
        <w:t>70</w:t>
      </w:r>
      <w:r w:rsidRPr="00FF271D">
        <w:rPr>
          <w:rFonts w:ascii="Arial" w:hAnsi="Arial" w:cs="Arial"/>
          <w:sz w:val="20"/>
        </w:rPr>
        <w:t xml:space="preserve"> Lumen Maintenance</w:t>
      </w:r>
    </w:p>
    <w:p w14:paraId="40ECBBC8" w14:textId="77777777"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 70 Color Rendering Index (CRI)</w:t>
      </w:r>
    </w:p>
    <w:p w14:paraId="54ECAF49" w14:textId="10D4667C"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 130 Lumens/Watt (LPW)</w:t>
      </w:r>
      <w:r w:rsidR="00212753" w:rsidRPr="00FF271D">
        <w:rPr>
          <w:rFonts w:ascii="Arial" w:hAnsi="Arial" w:cs="Arial"/>
          <w:sz w:val="20"/>
        </w:rPr>
        <w:t>*</w:t>
      </w:r>
    </w:p>
    <w:p w14:paraId="170D763D" w14:textId="77777777"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 5700 Kelvin Correlated Color Temperature (CCT)</w:t>
      </w:r>
    </w:p>
    <w:p w14:paraId="7A7DB927" w14:textId="77777777"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 5,000 Lumen light output +/- 10%</w:t>
      </w:r>
    </w:p>
    <w:p w14:paraId="13488EA0" w14:textId="7F3B72C0" w:rsidR="008E3605" w:rsidRPr="00FF271D" w:rsidRDefault="008E3605" w:rsidP="006666F0">
      <w:pPr>
        <w:pStyle w:val="ListParagraph"/>
        <w:numPr>
          <w:ilvl w:val="0"/>
          <w:numId w:val="3"/>
        </w:numPr>
        <w:rPr>
          <w:rFonts w:ascii="Arial" w:hAnsi="Arial" w:cs="Arial"/>
          <w:sz w:val="20"/>
        </w:rPr>
      </w:pPr>
      <w:r w:rsidRPr="00FF271D">
        <w:rPr>
          <w:rFonts w:ascii="Arial" w:hAnsi="Arial" w:cs="Arial"/>
          <w:sz w:val="20"/>
        </w:rPr>
        <w:t>≥ 30% of Lumen Output in the 20° - 50° zone (higher for Aisle Lighting)</w:t>
      </w:r>
    </w:p>
    <w:p w14:paraId="0DAE130E" w14:textId="77777777" w:rsidR="00212753" w:rsidRPr="00FF271D" w:rsidRDefault="00212753" w:rsidP="00FF271D">
      <w:pPr>
        <w:rPr>
          <w:rFonts w:ascii="Arial" w:hAnsi="Arial" w:cs="Arial"/>
          <w:sz w:val="20"/>
        </w:rPr>
      </w:pPr>
      <w:r w:rsidRPr="00FF271D">
        <w:rPr>
          <w:rFonts w:ascii="Arial" w:hAnsi="Arial" w:cs="Arial"/>
          <w:sz w:val="20"/>
        </w:rPr>
        <w:t>*Specific measure case efficacy requirements listed in measure code descriptions in Table 1.</w:t>
      </w:r>
    </w:p>
    <w:p w14:paraId="5EB998B0" w14:textId="77777777" w:rsidR="00CB4218" w:rsidRPr="002B40BA" w:rsidRDefault="00CB4218" w:rsidP="00CB4218">
      <w:pPr>
        <w:rPr>
          <w:rFonts w:ascii="Arial" w:hAnsi="Arial" w:cs="Arial"/>
          <w:sz w:val="20"/>
          <w:highlight w:val="yellow"/>
        </w:rPr>
      </w:pPr>
    </w:p>
    <w:p w14:paraId="11238410" w14:textId="77777777" w:rsidR="00CB4218" w:rsidRPr="002B40BA" w:rsidRDefault="00CB4218" w:rsidP="00CB4218">
      <w:pPr>
        <w:ind w:left="360"/>
        <w:rPr>
          <w:rFonts w:ascii="Arial" w:hAnsi="Arial" w:cs="Arial"/>
          <w:b/>
          <w:sz w:val="20"/>
        </w:rPr>
      </w:pPr>
      <w:r w:rsidRPr="002B40BA">
        <w:rPr>
          <w:rFonts w:ascii="Arial" w:hAnsi="Arial" w:cs="Arial"/>
          <w:b/>
          <w:sz w:val="20"/>
        </w:rPr>
        <w:t xml:space="preserve">Terms and Conditions: </w:t>
      </w:r>
    </w:p>
    <w:p w14:paraId="1A8E1169" w14:textId="77777777" w:rsidR="00CB4218" w:rsidRPr="002B40BA" w:rsidRDefault="00CB4218" w:rsidP="00CB4218">
      <w:pPr>
        <w:ind w:left="360"/>
        <w:rPr>
          <w:rFonts w:ascii="Arial" w:hAnsi="Arial" w:cs="Arial"/>
          <w:sz w:val="20"/>
        </w:rPr>
      </w:pPr>
      <w:r w:rsidRPr="002B40BA">
        <w:rPr>
          <w:rFonts w:ascii="Arial" w:hAnsi="Arial" w:cs="Arial"/>
          <w:sz w:val="20"/>
        </w:rPr>
        <w:t xml:space="preserve">The customer must be a non-residential PG&amp;E electric customer. </w:t>
      </w:r>
    </w:p>
    <w:p w14:paraId="573EBA71" w14:textId="77777777" w:rsidR="00D46E0B" w:rsidRPr="002B40BA" w:rsidRDefault="00D46E0B" w:rsidP="00CB4218">
      <w:pPr>
        <w:ind w:left="360"/>
        <w:rPr>
          <w:rFonts w:ascii="Arial" w:hAnsi="Arial" w:cs="Arial"/>
          <w:sz w:val="20"/>
        </w:rPr>
      </w:pPr>
    </w:p>
    <w:p w14:paraId="1C835DF7" w14:textId="77777777" w:rsidR="00CB4218" w:rsidRPr="002B40BA" w:rsidRDefault="00CB4218" w:rsidP="00CB4218">
      <w:pPr>
        <w:ind w:left="360"/>
        <w:rPr>
          <w:rFonts w:ascii="Arial" w:hAnsi="Arial" w:cs="Arial"/>
          <w:b/>
          <w:sz w:val="20"/>
        </w:rPr>
      </w:pPr>
      <w:r w:rsidRPr="002B40BA">
        <w:rPr>
          <w:rFonts w:ascii="Arial" w:hAnsi="Arial" w:cs="Arial"/>
          <w:b/>
          <w:sz w:val="20"/>
        </w:rPr>
        <w:t xml:space="preserve">Market Applicability: </w:t>
      </w:r>
    </w:p>
    <w:p w14:paraId="76B88932" w14:textId="044D5B5A" w:rsidR="00CB4218" w:rsidRPr="002B40BA" w:rsidRDefault="00CB4218" w:rsidP="00CB4218">
      <w:pPr>
        <w:ind w:left="360"/>
        <w:rPr>
          <w:rFonts w:ascii="Arial" w:hAnsi="Arial" w:cs="Arial"/>
          <w:sz w:val="20"/>
        </w:rPr>
      </w:pPr>
      <w:r w:rsidRPr="002B40BA">
        <w:rPr>
          <w:rFonts w:ascii="Arial" w:hAnsi="Arial" w:cs="Arial"/>
          <w:sz w:val="20"/>
        </w:rPr>
        <w:t xml:space="preserve">The customer must be a non-residential </w:t>
      </w:r>
      <w:r w:rsidR="00D46E0B" w:rsidRPr="002B40BA">
        <w:rPr>
          <w:rFonts w:ascii="Arial" w:hAnsi="Arial" w:cs="Arial"/>
          <w:sz w:val="20"/>
        </w:rPr>
        <w:t>PG&amp;E electric customer.</w:t>
      </w:r>
    </w:p>
    <w:p w14:paraId="20743369" w14:textId="77777777" w:rsidR="00CB4218" w:rsidRPr="002B40BA" w:rsidRDefault="00CB4218" w:rsidP="00CB4218">
      <w:pPr>
        <w:ind w:left="360"/>
        <w:rPr>
          <w:rFonts w:ascii="Arial" w:hAnsi="Arial" w:cs="Arial"/>
          <w:sz w:val="20"/>
        </w:rPr>
      </w:pPr>
    </w:p>
    <w:p w14:paraId="1C46B2AF" w14:textId="49A9F3E4" w:rsidR="00521920" w:rsidRPr="00C10056" w:rsidRDefault="00806070" w:rsidP="00C8399F">
      <w:pPr>
        <w:pStyle w:val="Heading2"/>
      </w:pPr>
      <w:bookmarkStart w:id="27" w:name="_Toc511038027"/>
      <w:bookmarkStart w:id="28" w:name="_Toc511244879"/>
      <w:bookmarkEnd w:id="21"/>
      <w:r w:rsidRPr="00C10056">
        <w:t xml:space="preserve">1.2 </w:t>
      </w:r>
      <w:r w:rsidR="00521920" w:rsidRPr="00C10056">
        <w:t>Technical Description</w:t>
      </w:r>
      <w:bookmarkEnd w:id="27"/>
      <w:bookmarkEnd w:id="28"/>
    </w:p>
    <w:p w14:paraId="224A500A" w14:textId="3F7FDDE4" w:rsidR="005B7851" w:rsidRDefault="005B7851" w:rsidP="005B7851">
      <w:pPr>
        <w:autoSpaceDE w:val="0"/>
        <w:autoSpaceDN w:val="0"/>
        <w:rPr>
          <w:rFonts w:ascii="Arial" w:hAnsi="Arial" w:cs="Arial"/>
          <w:sz w:val="20"/>
          <w:szCs w:val="20"/>
        </w:rPr>
      </w:pPr>
      <w:r>
        <w:rPr>
          <w:rFonts w:ascii="Arial" w:hAnsi="Arial" w:cs="Arial"/>
          <w:sz w:val="20"/>
          <w:szCs w:val="20"/>
        </w:rPr>
        <w:t>The following is a short excerpt from the CALiPER Snapshot for Industrial Luminaires</w:t>
      </w:r>
      <w:bookmarkStart w:id="29" w:name="_Ref511241687"/>
      <w:r w:rsidR="009842A2">
        <w:rPr>
          <w:rStyle w:val="EndnoteReference"/>
          <w:rFonts w:ascii="Arial" w:hAnsi="Arial" w:cs="Arial"/>
          <w:sz w:val="20"/>
          <w:szCs w:val="20"/>
        </w:rPr>
        <w:endnoteReference w:id="4"/>
      </w:r>
      <w:bookmarkEnd w:id="29"/>
      <w:r>
        <w:rPr>
          <w:rFonts w:ascii="Arial" w:hAnsi="Arial" w:cs="Arial"/>
          <w:sz w:val="20"/>
          <w:szCs w:val="20"/>
        </w:rPr>
        <w:t xml:space="preserve"> that gives a high-level overview:</w:t>
      </w:r>
    </w:p>
    <w:p w14:paraId="17ED64D4" w14:textId="77777777" w:rsidR="005B7851" w:rsidRDefault="005B7851" w:rsidP="005B7851">
      <w:pPr>
        <w:autoSpaceDE w:val="0"/>
        <w:autoSpaceDN w:val="0"/>
        <w:rPr>
          <w:rFonts w:ascii="Arial" w:hAnsi="Arial" w:cs="Arial"/>
          <w:sz w:val="20"/>
          <w:szCs w:val="20"/>
        </w:rPr>
      </w:pPr>
    </w:p>
    <w:p w14:paraId="0941E0A7" w14:textId="591180FD" w:rsidR="005B7851" w:rsidRDefault="005B7851" w:rsidP="00680BA9">
      <w:pPr>
        <w:autoSpaceDE w:val="0"/>
        <w:autoSpaceDN w:val="0"/>
        <w:ind w:left="720" w:right="1170"/>
        <w:jc w:val="both"/>
        <w:rPr>
          <w:rFonts w:ascii="Arial" w:hAnsi="Arial" w:cs="Arial"/>
          <w:i/>
          <w:iCs/>
          <w:sz w:val="20"/>
          <w:szCs w:val="20"/>
        </w:rPr>
      </w:pPr>
      <w:r>
        <w:rPr>
          <w:rFonts w:ascii="Arial" w:hAnsi="Arial" w:cs="Arial"/>
          <w:i/>
          <w:iCs/>
          <w:sz w:val="20"/>
          <w:szCs w:val="20"/>
        </w:rPr>
        <w:t>“Industrial” luminaires are prevalent in both the commercial and industrial sectors, providing economical ambient lighting in large, open indoor spaces such as warehouses, manufacturing facilities, and big-box retail stores.  Industrial luminaires are divided into two categories: low-bay and high-bay. Typically, low-bay fixtures are used for heights up to 20 feet, whereas high-bay fixtures are used where ceilings exceed 20 feet. Given the space demands, high-lumen-output luminaires are required, with low-bay options typically emitting between 5,000 and 20,000 lumens per fixture and high-bay options emitting between 15,000 and 100,000 lumens per fixture.</w:t>
      </w:r>
    </w:p>
    <w:p w14:paraId="3F540CA8" w14:textId="77777777" w:rsidR="005B7851" w:rsidRDefault="005B7851" w:rsidP="005B7851">
      <w:pPr>
        <w:autoSpaceDE w:val="0"/>
        <w:autoSpaceDN w:val="0"/>
        <w:rPr>
          <w:rFonts w:ascii="Arial" w:hAnsi="Arial" w:cs="Arial"/>
          <w:sz w:val="20"/>
          <w:szCs w:val="20"/>
        </w:rPr>
      </w:pPr>
    </w:p>
    <w:p w14:paraId="16766665" w14:textId="3F2D0CFB" w:rsidR="005B7851" w:rsidRDefault="005B7851" w:rsidP="005B7851">
      <w:pPr>
        <w:autoSpaceDE w:val="0"/>
        <w:autoSpaceDN w:val="0"/>
        <w:rPr>
          <w:rFonts w:ascii="Arial" w:hAnsi="Arial" w:cs="Arial"/>
          <w:sz w:val="20"/>
          <w:szCs w:val="20"/>
        </w:rPr>
      </w:pPr>
      <w:r>
        <w:rPr>
          <w:rFonts w:ascii="Arial" w:hAnsi="Arial" w:cs="Arial"/>
          <w:sz w:val="20"/>
          <w:szCs w:val="20"/>
        </w:rPr>
        <w:t>Historically</w:t>
      </w:r>
      <w:r w:rsidR="005C283E">
        <w:rPr>
          <w:rFonts w:ascii="Arial" w:hAnsi="Arial" w:cs="Arial"/>
          <w:sz w:val="20"/>
          <w:szCs w:val="20"/>
        </w:rPr>
        <w:t>,</w:t>
      </w:r>
      <w:r>
        <w:rPr>
          <w:rFonts w:ascii="Arial" w:hAnsi="Arial" w:cs="Arial"/>
          <w:sz w:val="20"/>
          <w:szCs w:val="20"/>
        </w:rPr>
        <w:t xml:space="preserve"> high-bay fixtures have used high-intensity discharge (HID) lamps (e.g., metal halide and high-pressure sodium) as the predominant light source, and low-bay fixtures have traditionally used both HID and fluorescent light source. Linear fluorescent high-output systems (e.g. T5/HO or F32T8 with VHLO ballasts) </w:t>
      </w:r>
      <w:r w:rsidR="00B770C7">
        <w:rPr>
          <w:rFonts w:ascii="Arial" w:hAnsi="Arial" w:cs="Arial"/>
          <w:sz w:val="20"/>
          <w:szCs w:val="20"/>
        </w:rPr>
        <w:t>became</w:t>
      </w:r>
      <w:r>
        <w:rPr>
          <w:rFonts w:ascii="Arial" w:hAnsi="Arial" w:cs="Arial"/>
          <w:sz w:val="20"/>
          <w:szCs w:val="20"/>
        </w:rPr>
        <w:t xml:space="preserve"> a popular energy-efficiency measure in the early 2000’s for both high and low bay fixtures</w:t>
      </w:r>
      <w:r w:rsidR="005C283E">
        <w:rPr>
          <w:rFonts w:ascii="Arial" w:hAnsi="Arial" w:cs="Arial"/>
          <w:sz w:val="20"/>
          <w:szCs w:val="20"/>
        </w:rPr>
        <w:t xml:space="preserve"> </w:t>
      </w:r>
      <w:r w:rsidR="00B770C7">
        <w:rPr>
          <w:rFonts w:ascii="Arial" w:hAnsi="Arial" w:cs="Arial"/>
          <w:sz w:val="20"/>
          <w:szCs w:val="20"/>
        </w:rPr>
        <w:t>due to their superior lumen maintenance, lack of restrike delay, and ability to switch with occupancy sensors.</w:t>
      </w:r>
    </w:p>
    <w:p w14:paraId="5742F09B" w14:textId="77777777" w:rsidR="005B7851" w:rsidRDefault="005B7851" w:rsidP="005B7851">
      <w:pPr>
        <w:autoSpaceDE w:val="0"/>
        <w:autoSpaceDN w:val="0"/>
        <w:rPr>
          <w:rFonts w:ascii="Arial" w:hAnsi="Arial" w:cs="Arial"/>
          <w:sz w:val="20"/>
          <w:szCs w:val="20"/>
        </w:rPr>
      </w:pPr>
    </w:p>
    <w:p w14:paraId="3E1541D3" w14:textId="52439C97" w:rsidR="005B7851" w:rsidRDefault="005B7851" w:rsidP="005B7851">
      <w:pPr>
        <w:autoSpaceDE w:val="0"/>
        <w:autoSpaceDN w:val="0"/>
        <w:rPr>
          <w:rFonts w:ascii="Arial" w:hAnsi="Arial" w:cs="Arial"/>
          <w:sz w:val="20"/>
          <w:szCs w:val="20"/>
        </w:rPr>
      </w:pPr>
      <w:r>
        <w:rPr>
          <w:rFonts w:ascii="Arial" w:hAnsi="Arial" w:cs="Arial"/>
          <w:sz w:val="20"/>
          <w:szCs w:val="20"/>
        </w:rPr>
        <w:t>Light emitting diode</w:t>
      </w:r>
      <w:r w:rsidR="00B770C7">
        <w:rPr>
          <w:rFonts w:ascii="Arial" w:hAnsi="Arial" w:cs="Arial"/>
          <w:sz w:val="20"/>
          <w:szCs w:val="20"/>
        </w:rPr>
        <w:t>s</w:t>
      </w:r>
      <w:r>
        <w:rPr>
          <w:rFonts w:ascii="Arial" w:hAnsi="Arial" w:cs="Arial"/>
          <w:sz w:val="20"/>
          <w:szCs w:val="20"/>
        </w:rPr>
        <w:t xml:space="preserve"> (LED</w:t>
      </w:r>
      <w:r w:rsidR="00B770C7">
        <w:rPr>
          <w:rFonts w:ascii="Arial" w:hAnsi="Arial" w:cs="Arial"/>
          <w:sz w:val="20"/>
          <w:szCs w:val="20"/>
        </w:rPr>
        <w:t>s</w:t>
      </w:r>
      <w:r>
        <w:rPr>
          <w:rFonts w:ascii="Arial" w:hAnsi="Arial" w:cs="Arial"/>
          <w:sz w:val="20"/>
          <w:szCs w:val="20"/>
        </w:rPr>
        <w:t>) first entered this market circa 2009 but early-generation LED high-bay luminaires lacked the lumen output to compete in the market.  LED</w:t>
      </w:r>
      <w:r w:rsidR="00B770C7">
        <w:rPr>
          <w:rFonts w:ascii="Arial" w:hAnsi="Arial" w:cs="Arial"/>
          <w:sz w:val="20"/>
          <w:szCs w:val="20"/>
        </w:rPr>
        <w:t>s</w:t>
      </w:r>
      <w:r>
        <w:rPr>
          <w:rFonts w:ascii="Arial" w:hAnsi="Arial" w:cs="Arial"/>
          <w:sz w:val="20"/>
          <w:szCs w:val="20"/>
        </w:rPr>
        <w:t xml:space="preserve"> ha</w:t>
      </w:r>
      <w:r w:rsidR="009A078C">
        <w:rPr>
          <w:rFonts w:ascii="Arial" w:hAnsi="Arial" w:cs="Arial"/>
          <w:sz w:val="20"/>
          <w:szCs w:val="20"/>
        </w:rPr>
        <w:t>ve</w:t>
      </w:r>
      <w:r>
        <w:rPr>
          <w:rFonts w:ascii="Arial" w:hAnsi="Arial" w:cs="Arial"/>
          <w:sz w:val="20"/>
          <w:szCs w:val="20"/>
        </w:rPr>
        <w:t xml:space="preserve"> since improved significantly </w:t>
      </w:r>
      <w:r>
        <w:rPr>
          <w:rFonts w:ascii="Arial" w:hAnsi="Arial" w:cs="Arial"/>
          <w:sz w:val="20"/>
          <w:szCs w:val="20"/>
        </w:rPr>
        <w:lastRenderedPageBreak/>
        <w:t>making them an efficient and reliable lighting technology successfully replacing many lighting sources. Improvements in LED performance, makes LED an ideal replacement of HID</w:t>
      </w:r>
      <w:r w:rsidR="009A078C">
        <w:rPr>
          <w:rFonts w:ascii="Arial" w:hAnsi="Arial" w:cs="Arial"/>
          <w:sz w:val="20"/>
          <w:szCs w:val="20"/>
        </w:rPr>
        <w:t xml:space="preserve"> and fluorescent</w:t>
      </w:r>
      <w:r>
        <w:rPr>
          <w:rFonts w:ascii="Arial" w:hAnsi="Arial" w:cs="Arial"/>
          <w:sz w:val="20"/>
          <w:szCs w:val="20"/>
        </w:rPr>
        <w:t xml:space="preserve"> light</w:t>
      </w:r>
      <w:r w:rsidR="009A078C">
        <w:rPr>
          <w:rFonts w:ascii="Arial" w:hAnsi="Arial" w:cs="Arial"/>
          <w:sz w:val="20"/>
          <w:szCs w:val="20"/>
        </w:rPr>
        <w:t xml:space="preserve"> fixture</w:t>
      </w:r>
      <w:r>
        <w:rPr>
          <w:rFonts w:ascii="Arial" w:hAnsi="Arial" w:cs="Arial"/>
          <w:sz w:val="20"/>
          <w:szCs w:val="20"/>
        </w:rPr>
        <w:t xml:space="preserve">s. </w:t>
      </w:r>
    </w:p>
    <w:p w14:paraId="508B1B7C" w14:textId="77777777" w:rsidR="005B7851" w:rsidRDefault="005B7851" w:rsidP="005B7851">
      <w:pPr>
        <w:autoSpaceDE w:val="0"/>
        <w:autoSpaceDN w:val="0"/>
        <w:rPr>
          <w:rFonts w:ascii="Arial" w:hAnsi="Arial" w:cs="Arial"/>
          <w:sz w:val="20"/>
          <w:szCs w:val="20"/>
        </w:rPr>
      </w:pPr>
    </w:p>
    <w:p w14:paraId="03AA4A1A" w14:textId="341D81B7" w:rsidR="005B7851" w:rsidRDefault="009A078C" w:rsidP="005B7851">
      <w:pPr>
        <w:autoSpaceDE w:val="0"/>
        <w:autoSpaceDN w:val="0"/>
        <w:rPr>
          <w:rFonts w:ascii="Arial" w:hAnsi="Arial" w:cs="Arial"/>
          <w:sz w:val="20"/>
          <w:szCs w:val="20"/>
        </w:rPr>
      </w:pPr>
      <w:r>
        <w:rPr>
          <w:rFonts w:ascii="Arial" w:hAnsi="Arial" w:cs="Arial"/>
          <w:sz w:val="20"/>
          <w:szCs w:val="20"/>
        </w:rPr>
        <w:t xml:space="preserve">Though only 6% of all industrial luminaire installations were LED in 2015, </w:t>
      </w:r>
      <w:r w:rsidR="00B770C7">
        <w:rPr>
          <w:rFonts w:ascii="Arial" w:hAnsi="Arial" w:cs="Arial"/>
          <w:sz w:val="20"/>
          <w:szCs w:val="20"/>
        </w:rPr>
        <w:t>market penetration is expected to grow to 86% by 2035</w:t>
      </w:r>
      <w:r w:rsidR="007B0C19" w:rsidRPr="007B0C19">
        <w:rPr>
          <w:rFonts w:ascii="Arial" w:hAnsi="Arial" w:cs="Arial"/>
          <w:sz w:val="20"/>
          <w:szCs w:val="20"/>
          <w:vertAlign w:val="superscript"/>
        </w:rPr>
        <w:fldChar w:fldCharType="begin"/>
      </w:r>
      <w:r w:rsidR="007B0C19" w:rsidRPr="007B0C19">
        <w:rPr>
          <w:rFonts w:ascii="Arial" w:hAnsi="Arial" w:cs="Arial"/>
          <w:sz w:val="20"/>
          <w:szCs w:val="20"/>
          <w:vertAlign w:val="superscript"/>
        </w:rPr>
        <w:instrText xml:space="preserve"> NOTEREF _Ref511241687 \h </w:instrText>
      </w:r>
      <w:r w:rsidR="007B0C19">
        <w:rPr>
          <w:rFonts w:ascii="Arial" w:hAnsi="Arial" w:cs="Arial"/>
          <w:sz w:val="20"/>
          <w:szCs w:val="20"/>
          <w:vertAlign w:val="superscript"/>
        </w:rPr>
        <w:instrText xml:space="preserve"> \* MERGEFORMAT </w:instrText>
      </w:r>
      <w:r w:rsidR="007B0C19" w:rsidRPr="007B0C19">
        <w:rPr>
          <w:rFonts w:ascii="Arial" w:hAnsi="Arial" w:cs="Arial"/>
          <w:sz w:val="20"/>
          <w:szCs w:val="20"/>
          <w:vertAlign w:val="superscript"/>
        </w:rPr>
      </w:r>
      <w:r w:rsidR="007B0C19" w:rsidRPr="007B0C19">
        <w:rPr>
          <w:rFonts w:ascii="Arial" w:hAnsi="Arial" w:cs="Arial"/>
          <w:sz w:val="20"/>
          <w:szCs w:val="20"/>
          <w:vertAlign w:val="superscript"/>
        </w:rPr>
        <w:fldChar w:fldCharType="separate"/>
      </w:r>
      <w:r w:rsidR="007B0C19" w:rsidRPr="007B0C19">
        <w:rPr>
          <w:rFonts w:ascii="Arial" w:hAnsi="Arial" w:cs="Arial"/>
          <w:sz w:val="20"/>
          <w:szCs w:val="20"/>
          <w:vertAlign w:val="superscript"/>
        </w:rPr>
        <w:t>3</w:t>
      </w:r>
      <w:r w:rsidR="007B0C19" w:rsidRPr="007B0C19">
        <w:rPr>
          <w:rFonts w:ascii="Arial" w:hAnsi="Arial" w:cs="Arial"/>
          <w:sz w:val="20"/>
          <w:szCs w:val="20"/>
          <w:vertAlign w:val="superscript"/>
        </w:rPr>
        <w:fldChar w:fldCharType="end"/>
      </w:r>
      <w:r w:rsidR="00B770C7">
        <w:rPr>
          <w:rFonts w:ascii="Arial" w:hAnsi="Arial" w:cs="Arial"/>
          <w:sz w:val="20"/>
          <w:szCs w:val="20"/>
        </w:rPr>
        <w:t xml:space="preserve">. </w:t>
      </w:r>
      <w:r w:rsidR="005B7851">
        <w:rPr>
          <w:rFonts w:ascii="Arial" w:hAnsi="Arial" w:cs="Arial"/>
          <w:sz w:val="20"/>
          <w:szCs w:val="20"/>
        </w:rPr>
        <w:t xml:space="preserve">According to LED Lighting Facts, by 2014 LED efficacy </w:t>
      </w:r>
      <w:r>
        <w:rPr>
          <w:rFonts w:ascii="Arial" w:hAnsi="Arial" w:cs="Arial"/>
          <w:sz w:val="20"/>
          <w:szCs w:val="20"/>
        </w:rPr>
        <w:t xml:space="preserve">had </w:t>
      </w:r>
      <w:r w:rsidR="005B7851">
        <w:rPr>
          <w:rFonts w:ascii="Arial" w:hAnsi="Arial" w:cs="Arial"/>
          <w:sz w:val="20"/>
          <w:szCs w:val="20"/>
        </w:rPr>
        <w:t xml:space="preserve">surpassed the HID and fluorescent technology with very competitive pricing.  LED Lighting Facts currently lists more than 8,000 industrial products, </w:t>
      </w:r>
      <w:r w:rsidR="00CC3ABC">
        <w:rPr>
          <w:rFonts w:ascii="Arial" w:hAnsi="Arial" w:cs="Arial"/>
          <w:sz w:val="20"/>
          <w:szCs w:val="20"/>
        </w:rPr>
        <w:t>“</w:t>
      </w:r>
      <w:r w:rsidR="005B7851">
        <w:rPr>
          <w:rFonts w:ascii="Arial" w:hAnsi="Arial" w:cs="Arial"/>
          <w:sz w:val="20"/>
          <w:szCs w:val="20"/>
        </w:rPr>
        <w:t>41% of which emit between 5,000 and 15,000 lumens and 55% of which emit more than 15,000 lumens.</w:t>
      </w:r>
      <w:r w:rsidR="00CC3ABC">
        <w:rPr>
          <w:rFonts w:ascii="Arial" w:hAnsi="Arial" w:cs="Arial"/>
          <w:sz w:val="20"/>
          <w:szCs w:val="20"/>
        </w:rPr>
        <w:t>”</w:t>
      </w:r>
      <w:r w:rsidR="005B7851">
        <w:rPr>
          <w:rFonts w:ascii="Arial" w:hAnsi="Arial" w:cs="Arial"/>
          <w:sz w:val="20"/>
          <w:szCs w:val="20"/>
        </w:rPr>
        <w:t> </w:t>
      </w:r>
      <w:r>
        <w:rPr>
          <w:rFonts w:ascii="Arial" w:hAnsi="Arial" w:cs="Arial"/>
          <w:sz w:val="20"/>
          <w:szCs w:val="20"/>
        </w:rPr>
        <w:t xml:space="preserve">About </w:t>
      </w:r>
      <w:r w:rsidR="00CC3ABC">
        <w:rPr>
          <w:rFonts w:ascii="Arial" w:hAnsi="Arial" w:cs="Arial"/>
          <w:sz w:val="20"/>
          <w:szCs w:val="20"/>
        </w:rPr>
        <w:t>“</w:t>
      </w:r>
      <w:r>
        <w:rPr>
          <w:rFonts w:ascii="Arial" w:hAnsi="Arial" w:cs="Arial"/>
          <w:sz w:val="20"/>
          <w:szCs w:val="20"/>
        </w:rPr>
        <w:t>168 LED retrofit kits for these applications are currently listed with Lighting Facts.</w:t>
      </w:r>
      <w:r w:rsidR="00CC3ABC">
        <w:rPr>
          <w:rFonts w:ascii="Arial" w:hAnsi="Arial" w:cs="Arial"/>
          <w:sz w:val="20"/>
          <w:szCs w:val="20"/>
        </w:rPr>
        <w:t>”</w:t>
      </w:r>
      <w:r w:rsidR="00FF271D">
        <w:rPr>
          <w:rFonts w:ascii="Arial" w:hAnsi="Arial" w:cs="Arial"/>
          <w:sz w:val="20"/>
          <w:szCs w:val="20"/>
        </w:rPr>
        <w:t xml:space="preserve"> </w:t>
      </w:r>
      <w:r w:rsidR="005B7851">
        <w:rPr>
          <w:rFonts w:ascii="Arial" w:hAnsi="Arial" w:cs="Arial"/>
          <w:sz w:val="20"/>
          <w:szCs w:val="20"/>
        </w:rPr>
        <w:t xml:space="preserve">A majority of listed industrial fixtures have comparable lumen output and higher luminous efficacy than their metal halide and fluorescent counterparts. </w:t>
      </w:r>
      <w:r w:rsidR="00CC3ABC">
        <w:rPr>
          <w:rFonts w:ascii="Arial" w:hAnsi="Arial" w:cs="Arial"/>
          <w:sz w:val="20"/>
          <w:szCs w:val="20"/>
        </w:rPr>
        <w:t>“</w:t>
      </w:r>
      <w:r w:rsidR="00B770C7">
        <w:rPr>
          <w:rFonts w:ascii="Arial" w:hAnsi="Arial" w:cs="Arial"/>
          <w:sz w:val="20"/>
          <w:szCs w:val="20"/>
        </w:rPr>
        <w:t>And in terms of color quality and power quality, LED industrial fixtures almost all offer the same performance as their metal halide and fluorescent counterparts.</w:t>
      </w:r>
      <w:r w:rsidR="00CC3ABC">
        <w:rPr>
          <w:rFonts w:ascii="Arial" w:hAnsi="Arial" w:cs="Arial"/>
          <w:sz w:val="20"/>
          <w:szCs w:val="20"/>
        </w:rPr>
        <w:t>”</w:t>
      </w:r>
    </w:p>
    <w:p w14:paraId="36E98A0F" w14:textId="77777777" w:rsidR="005B7851" w:rsidRDefault="005B7851" w:rsidP="005B7851">
      <w:pPr>
        <w:autoSpaceDE w:val="0"/>
        <w:autoSpaceDN w:val="0"/>
        <w:rPr>
          <w:rFonts w:ascii="Arial" w:hAnsi="Arial" w:cs="Arial"/>
          <w:sz w:val="20"/>
          <w:szCs w:val="20"/>
        </w:rPr>
      </w:pPr>
    </w:p>
    <w:p w14:paraId="38622748" w14:textId="02DC7153" w:rsidR="005B7851" w:rsidRDefault="005B7851" w:rsidP="005B7851">
      <w:pPr>
        <w:autoSpaceDE w:val="0"/>
        <w:autoSpaceDN w:val="0"/>
        <w:rPr>
          <w:rFonts w:ascii="Arial" w:hAnsi="Arial" w:cs="Arial"/>
          <w:sz w:val="20"/>
          <w:szCs w:val="20"/>
        </w:rPr>
      </w:pPr>
      <w:r>
        <w:rPr>
          <w:rFonts w:ascii="Arial" w:hAnsi="Arial" w:cs="Arial"/>
          <w:sz w:val="20"/>
          <w:szCs w:val="20"/>
        </w:rPr>
        <w:t xml:space="preserve">LED fixtures under this workpaper are assigned a measure code according to </w:t>
      </w:r>
      <w:r w:rsidR="009A078C">
        <w:rPr>
          <w:rFonts w:ascii="Arial" w:hAnsi="Arial" w:cs="Arial"/>
          <w:sz w:val="20"/>
          <w:szCs w:val="20"/>
        </w:rPr>
        <w:t xml:space="preserve">efficacy and </w:t>
      </w:r>
      <w:r>
        <w:rPr>
          <w:rFonts w:ascii="Arial" w:hAnsi="Arial" w:cs="Arial"/>
          <w:sz w:val="20"/>
          <w:szCs w:val="20"/>
        </w:rPr>
        <w:t>wattage, which describes the energy savings associated with their replacement of linear fluorescent fixtures</w:t>
      </w:r>
      <w:r w:rsidR="009A078C">
        <w:rPr>
          <w:rFonts w:ascii="Arial" w:hAnsi="Arial" w:cs="Arial"/>
          <w:sz w:val="20"/>
          <w:szCs w:val="20"/>
        </w:rPr>
        <w:t xml:space="preserve"> and less efficient LED fixtures</w:t>
      </w:r>
      <w:r>
        <w:rPr>
          <w:rFonts w:ascii="Arial" w:hAnsi="Arial" w:cs="Arial"/>
          <w:sz w:val="20"/>
          <w:szCs w:val="20"/>
        </w:rPr>
        <w:t>.</w:t>
      </w:r>
    </w:p>
    <w:p w14:paraId="70744751" w14:textId="1E39625A" w:rsidR="00FA5F99" w:rsidRPr="00746B00" w:rsidRDefault="009C5CA7" w:rsidP="00FA5F99">
      <w:pPr>
        <w:pStyle w:val="Heading2"/>
      </w:pPr>
      <w:bookmarkStart w:id="30" w:name="_Toc511038028"/>
      <w:bookmarkStart w:id="31" w:name="_Toc511244880"/>
      <w:r>
        <w:t>1.</w:t>
      </w:r>
      <w:r w:rsidR="00806070">
        <w:t>3</w:t>
      </w:r>
      <w:r>
        <w:t xml:space="preserve"> </w:t>
      </w:r>
      <w:r w:rsidR="00FD6117">
        <w:t>Installation Types and Delivery Mechanisms</w:t>
      </w:r>
      <w:bookmarkEnd w:id="30"/>
      <w:bookmarkEnd w:id="31"/>
    </w:p>
    <w:p w14:paraId="64A2698B" w14:textId="0672BF1D" w:rsidR="00573960" w:rsidRPr="005E4E31" w:rsidRDefault="00573960" w:rsidP="00FA5F99">
      <w:pPr>
        <w:rPr>
          <w:rFonts w:ascii="Arial" w:hAnsi="Arial" w:cs="Arial"/>
          <w:sz w:val="20"/>
        </w:rPr>
      </w:pPr>
      <w:r w:rsidRPr="005E4E31">
        <w:rPr>
          <w:rFonts w:ascii="Arial" w:hAnsi="Arial" w:cs="Arial"/>
          <w:sz w:val="20"/>
        </w:rPr>
        <w:t>The Database for Energy Efficiency Resources (DEER) developed by the California Public Utilities Commission defines the measure application t</w:t>
      </w:r>
      <w:r w:rsidR="00A55DE2">
        <w:rPr>
          <w:rFonts w:ascii="Arial" w:hAnsi="Arial" w:cs="Arial"/>
          <w:sz w:val="20"/>
        </w:rPr>
        <w:t>ype as shown in the table below:</w:t>
      </w:r>
    </w:p>
    <w:p w14:paraId="3C77AAC5" w14:textId="77777777" w:rsidR="00573960" w:rsidRDefault="00573960" w:rsidP="00FA5F99">
      <w:pPr>
        <w:rPr>
          <w:rFonts w:cs="Arial"/>
          <w:sz w:val="20"/>
          <w:szCs w:val="20"/>
        </w:rPr>
      </w:pPr>
    </w:p>
    <w:p w14:paraId="3BFF760B" w14:textId="0AEF382B" w:rsidR="00FA5F99" w:rsidRPr="00746B00" w:rsidRDefault="00FA5F99" w:rsidP="00394504">
      <w:pPr>
        <w:pStyle w:val="Caption"/>
        <w:keepNext/>
        <w:rPr>
          <w:rFonts w:ascii="Arial" w:hAnsi="Arial" w:cs="Arial"/>
          <w:sz w:val="26"/>
          <w:szCs w:val="26"/>
        </w:rPr>
      </w:pPr>
      <w:bookmarkStart w:id="32" w:name="_Toc324427642"/>
      <w:bookmarkStart w:id="33" w:name="_Toc383697824"/>
      <w:bookmarkStart w:id="34" w:name="_Toc511038006"/>
      <w:bookmarkStart w:id="35" w:name="_Toc511244267"/>
      <w:bookmarkStart w:id="36" w:name="_Toc511244292"/>
      <w:bookmarkStart w:id="37" w:name="_Toc511244911"/>
      <w:r w:rsidRPr="00C924AA">
        <w:t xml:space="preserve">Table </w:t>
      </w:r>
      <w:r w:rsidR="00C426D4">
        <w:fldChar w:fldCharType="begin"/>
      </w:r>
      <w:r w:rsidR="00C426D4">
        <w:instrText xml:space="preserve"> SEQ Table \* ARABIC </w:instrText>
      </w:r>
      <w:r w:rsidR="00C426D4">
        <w:fldChar w:fldCharType="separate"/>
      </w:r>
      <w:r w:rsidR="00E94C25">
        <w:rPr>
          <w:noProof/>
        </w:rPr>
        <w:t>2</w:t>
      </w:r>
      <w:r w:rsidR="00C426D4">
        <w:rPr>
          <w:noProof/>
        </w:rPr>
        <w:fldChar w:fldCharType="end"/>
      </w:r>
      <w:bookmarkStart w:id="38" w:name="RANGE!B222"/>
      <w:r w:rsidR="00C924AA" w:rsidRPr="00C924AA">
        <w:t xml:space="preserve"> - </w:t>
      </w:r>
      <w:r w:rsidRPr="00C924AA">
        <w:t>Measure Application Type</w:t>
      </w:r>
      <w:bookmarkEnd w:id="32"/>
      <w:bookmarkEnd w:id="38"/>
      <w:r w:rsidRPr="00746B00">
        <w:rPr>
          <w:rStyle w:val="EndnoteReference"/>
          <w:rFonts w:ascii="Arial" w:hAnsi="Arial" w:cs="Arial"/>
        </w:rPr>
        <w:endnoteReference w:id="5"/>
      </w:r>
      <w:bookmarkEnd w:id="33"/>
      <w:bookmarkEnd w:id="34"/>
      <w:bookmarkEnd w:id="35"/>
      <w:bookmarkEnd w:id="36"/>
      <w:bookmarkEnd w:id="37"/>
    </w:p>
    <w:tbl>
      <w:tblPr>
        <w:tblW w:w="9090" w:type="dxa"/>
        <w:tblInd w:w="108" w:type="dxa"/>
        <w:tblLook w:val="04A0" w:firstRow="1" w:lastRow="0" w:firstColumn="1" w:lastColumn="0" w:noHBand="0" w:noVBand="1"/>
      </w:tblPr>
      <w:tblGrid>
        <w:gridCol w:w="900"/>
        <w:gridCol w:w="2610"/>
        <w:gridCol w:w="5580"/>
      </w:tblGrid>
      <w:tr w:rsidR="00FA5F99" w:rsidRPr="009842A2" w14:paraId="609B0DFC" w14:textId="77777777" w:rsidTr="1AA8F051">
        <w:trPr>
          <w:trHeight w:val="315"/>
        </w:trPr>
        <w:tc>
          <w:tcPr>
            <w:tcW w:w="900" w:type="dxa"/>
            <w:tcBorders>
              <w:top w:val="single" w:sz="4" w:space="0" w:color="auto"/>
              <w:left w:val="single" w:sz="4" w:space="0" w:color="auto"/>
              <w:bottom w:val="single" w:sz="8" w:space="0" w:color="auto"/>
              <w:right w:val="nil"/>
            </w:tcBorders>
            <w:shd w:val="clear" w:color="auto" w:fill="D9D9D9" w:themeFill="background1" w:themeFillShade="D9"/>
            <w:noWrap/>
            <w:vAlign w:val="bottom"/>
            <w:hideMark/>
          </w:tcPr>
          <w:p w14:paraId="12C719AD" w14:textId="77777777" w:rsidR="00FA5F99" w:rsidRPr="009842A2" w:rsidRDefault="00FA5F99" w:rsidP="005C7190">
            <w:pPr>
              <w:keepNext/>
              <w:rPr>
                <w:rFonts w:ascii="Arial" w:hAnsi="Arial" w:cs="Arial"/>
                <w:b/>
                <w:color w:val="000000"/>
                <w:szCs w:val="22"/>
              </w:rPr>
            </w:pPr>
            <w:r w:rsidRPr="1AA8F051">
              <w:rPr>
                <w:rFonts w:ascii="Arial" w:hAnsi="Arial"/>
                <w:b/>
                <w:color w:val="000000" w:themeColor="text1"/>
              </w:rPr>
              <w:t>Code</w:t>
            </w:r>
          </w:p>
        </w:tc>
        <w:tc>
          <w:tcPr>
            <w:tcW w:w="2610" w:type="dxa"/>
            <w:tcBorders>
              <w:top w:val="single" w:sz="4" w:space="0" w:color="auto"/>
              <w:left w:val="nil"/>
              <w:bottom w:val="single" w:sz="8" w:space="0" w:color="auto"/>
              <w:right w:val="nil"/>
            </w:tcBorders>
            <w:shd w:val="clear" w:color="auto" w:fill="D9D9D9" w:themeFill="background1" w:themeFillShade="D9"/>
            <w:noWrap/>
            <w:vAlign w:val="bottom"/>
            <w:hideMark/>
          </w:tcPr>
          <w:p w14:paraId="7B30C73A" w14:textId="77777777" w:rsidR="00FA5F99" w:rsidRPr="009842A2" w:rsidRDefault="00FA5F99" w:rsidP="005C7190">
            <w:pPr>
              <w:keepNext/>
              <w:rPr>
                <w:rFonts w:ascii="Arial" w:hAnsi="Arial" w:cs="Arial"/>
                <w:b/>
                <w:color w:val="000000"/>
                <w:szCs w:val="22"/>
              </w:rPr>
            </w:pPr>
            <w:r w:rsidRPr="1AA8F051">
              <w:rPr>
                <w:rFonts w:ascii="Arial" w:hAnsi="Arial"/>
                <w:b/>
                <w:color w:val="000000" w:themeColor="text1"/>
              </w:rPr>
              <w:t>Description</w:t>
            </w:r>
          </w:p>
        </w:tc>
        <w:tc>
          <w:tcPr>
            <w:tcW w:w="5580" w:type="dxa"/>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14:paraId="195803EB" w14:textId="77777777" w:rsidR="00FA5F99" w:rsidRPr="009842A2" w:rsidRDefault="00FA5F99" w:rsidP="005C7190">
            <w:pPr>
              <w:keepNext/>
              <w:rPr>
                <w:rFonts w:ascii="Arial" w:hAnsi="Arial" w:cs="Arial"/>
                <w:b/>
                <w:color w:val="000000"/>
                <w:szCs w:val="22"/>
              </w:rPr>
            </w:pPr>
            <w:r w:rsidRPr="1AA8F051">
              <w:rPr>
                <w:rFonts w:ascii="Arial" w:hAnsi="Arial"/>
                <w:b/>
                <w:color w:val="000000" w:themeColor="text1"/>
              </w:rPr>
              <w:t>Comment</w:t>
            </w:r>
          </w:p>
        </w:tc>
      </w:tr>
      <w:tr w:rsidR="00FA5F99" w:rsidRPr="009842A2" w14:paraId="4F507125" w14:textId="77777777" w:rsidTr="005C7190">
        <w:trPr>
          <w:trHeight w:val="600"/>
        </w:trPr>
        <w:tc>
          <w:tcPr>
            <w:tcW w:w="900" w:type="dxa"/>
            <w:tcBorders>
              <w:top w:val="nil"/>
              <w:left w:val="single" w:sz="4" w:space="0" w:color="auto"/>
              <w:bottom w:val="nil"/>
              <w:right w:val="nil"/>
            </w:tcBorders>
            <w:shd w:val="clear" w:color="auto" w:fill="auto"/>
            <w:noWrap/>
            <w:vAlign w:val="center"/>
            <w:hideMark/>
          </w:tcPr>
          <w:p w14:paraId="4D6C5DBE" w14:textId="77777777" w:rsidR="00FA5F99" w:rsidRPr="009842A2" w:rsidRDefault="00FA5F99" w:rsidP="005C7190">
            <w:pPr>
              <w:keepNext/>
              <w:rPr>
                <w:rFonts w:ascii="Arial" w:hAnsi="Arial" w:cs="Arial"/>
                <w:i/>
                <w:sz w:val="20"/>
                <w:szCs w:val="20"/>
              </w:rPr>
            </w:pPr>
            <w:r w:rsidRPr="009842A2">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14:paraId="51551F75" w14:textId="77777777" w:rsidR="00FA5F99" w:rsidRPr="009842A2" w:rsidRDefault="00FA5F99" w:rsidP="005C7190">
            <w:pPr>
              <w:keepNext/>
              <w:rPr>
                <w:rFonts w:ascii="Arial" w:hAnsi="Arial" w:cs="Arial"/>
                <w:i/>
                <w:sz w:val="20"/>
                <w:szCs w:val="20"/>
              </w:rPr>
            </w:pPr>
            <w:r w:rsidRPr="009842A2">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14:paraId="49A4B8C0" w14:textId="77777777" w:rsidR="00FA5F99" w:rsidRPr="009842A2" w:rsidRDefault="00FA5F99" w:rsidP="005C7190">
            <w:pPr>
              <w:keepNext/>
              <w:rPr>
                <w:rFonts w:ascii="Arial" w:hAnsi="Arial" w:cs="Arial"/>
                <w:i/>
                <w:sz w:val="20"/>
                <w:szCs w:val="20"/>
              </w:rPr>
            </w:pPr>
            <w:r w:rsidRPr="009842A2">
              <w:rPr>
                <w:rFonts w:ascii="Arial" w:hAnsi="Arial" w:cs="Arial"/>
                <w:i/>
                <w:sz w:val="20"/>
                <w:szCs w:val="20"/>
              </w:rPr>
              <w:t>measure applied when existing equipment fails or maintenance requires replacement</w:t>
            </w:r>
          </w:p>
        </w:tc>
      </w:tr>
      <w:tr w:rsidR="00FA5F99" w:rsidRPr="002E0F0A" w14:paraId="6D7B583D" w14:textId="77777777" w:rsidTr="005C7190">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5C1178A6" w14:textId="77777777" w:rsidR="00FA5F99" w:rsidRPr="009842A2" w:rsidRDefault="00FA5F99" w:rsidP="005C7190">
            <w:pPr>
              <w:rPr>
                <w:rFonts w:ascii="Arial" w:hAnsi="Arial" w:cs="Arial"/>
                <w:i/>
                <w:sz w:val="20"/>
                <w:szCs w:val="20"/>
              </w:rPr>
            </w:pPr>
            <w:r w:rsidRPr="009842A2">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14:paraId="254E5AD6" w14:textId="77777777" w:rsidR="00FA5F99" w:rsidRPr="009842A2" w:rsidRDefault="00FA5F99" w:rsidP="005C7190">
            <w:pPr>
              <w:rPr>
                <w:rFonts w:ascii="Arial" w:hAnsi="Arial" w:cs="Arial"/>
                <w:i/>
                <w:sz w:val="20"/>
                <w:szCs w:val="20"/>
              </w:rPr>
            </w:pPr>
            <w:r w:rsidRPr="009842A2">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49FF981C" w14:textId="77777777" w:rsidR="00FA5F99" w:rsidRPr="009842A2" w:rsidRDefault="00FA5F99" w:rsidP="005C7190">
            <w:pPr>
              <w:rPr>
                <w:rFonts w:ascii="Arial" w:hAnsi="Arial" w:cs="Arial"/>
                <w:i/>
                <w:sz w:val="20"/>
                <w:szCs w:val="20"/>
              </w:rPr>
            </w:pPr>
            <w:r w:rsidRPr="009842A2">
              <w:rPr>
                <w:rFonts w:ascii="Arial" w:hAnsi="Arial" w:cs="Arial"/>
                <w:i/>
                <w:sz w:val="20"/>
                <w:szCs w:val="20"/>
              </w:rPr>
              <w:t>measure applied during construction design phase as an alternative to a code-compliant standard design</w:t>
            </w:r>
          </w:p>
        </w:tc>
      </w:tr>
    </w:tbl>
    <w:p w14:paraId="2FF515D8" w14:textId="77777777" w:rsidR="001D0750" w:rsidRPr="002E0F0A" w:rsidRDefault="001D0750" w:rsidP="00FA5F99">
      <w:pPr>
        <w:rPr>
          <w:rFonts w:ascii="Arial" w:hAnsi="Arial" w:cs="Arial"/>
          <w:sz w:val="20"/>
          <w:szCs w:val="20"/>
          <w:highlight w:val="yellow"/>
        </w:rPr>
      </w:pPr>
    </w:p>
    <w:p w14:paraId="6853D8B5" w14:textId="18527E4A" w:rsidR="00FA5F99" w:rsidRPr="009842A2" w:rsidRDefault="00FA5F99" w:rsidP="00FA5F99">
      <w:pPr>
        <w:rPr>
          <w:rFonts w:ascii="Arial" w:hAnsi="Arial" w:cs="Arial"/>
          <w:sz w:val="20"/>
          <w:szCs w:val="20"/>
        </w:rPr>
      </w:pPr>
      <w:r w:rsidRPr="009842A2">
        <w:rPr>
          <w:rFonts w:ascii="Arial" w:hAnsi="Arial" w:cs="Arial"/>
          <w:sz w:val="20"/>
          <w:szCs w:val="20"/>
        </w:rPr>
        <w:t xml:space="preserve">All the measures within this </w:t>
      </w:r>
      <w:r w:rsidR="009842A2">
        <w:rPr>
          <w:rFonts w:ascii="Arial" w:hAnsi="Arial" w:cs="Arial"/>
          <w:sz w:val="20"/>
          <w:szCs w:val="20"/>
        </w:rPr>
        <w:t xml:space="preserve">revision of the </w:t>
      </w:r>
      <w:r w:rsidRPr="009842A2">
        <w:rPr>
          <w:rFonts w:ascii="Arial" w:hAnsi="Arial" w:cs="Arial"/>
          <w:sz w:val="20"/>
          <w:szCs w:val="20"/>
        </w:rPr>
        <w:t>workpaper are ROB</w:t>
      </w:r>
      <w:r w:rsidR="00A95A8F" w:rsidRPr="009842A2">
        <w:rPr>
          <w:rFonts w:ascii="Arial" w:hAnsi="Arial" w:cs="Arial"/>
          <w:sz w:val="20"/>
          <w:szCs w:val="20"/>
        </w:rPr>
        <w:t xml:space="preserve"> </w:t>
      </w:r>
      <w:r w:rsidR="009842A2">
        <w:rPr>
          <w:rFonts w:ascii="Arial" w:hAnsi="Arial" w:cs="Arial"/>
          <w:sz w:val="20"/>
          <w:szCs w:val="20"/>
        </w:rPr>
        <w:t>and</w:t>
      </w:r>
      <w:r w:rsidR="00A95A8F" w:rsidRPr="009842A2">
        <w:rPr>
          <w:rFonts w:ascii="Arial" w:hAnsi="Arial" w:cs="Arial"/>
          <w:sz w:val="20"/>
          <w:szCs w:val="20"/>
        </w:rPr>
        <w:t xml:space="preserve"> NC</w:t>
      </w:r>
      <w:r w:rsidR="007F1856" w:rsidRPr="009842A2">
        <w:rPr>
          <w:rFonts w:ascii="Arial" w:hAnsi="Arial" w:cs="Arial"/>
          <w:sz w:val="20"/>
          <w:szCs w:val="20"/>
        </w:rPr>
        <w:t>.</w:t>
      </w:r>
      <w:r w:rsidR="00437103" w:rsidRPr="009842A2">
        <w:rPr>
          <w:rFonts w:ascii="Arial" w:hAnsi="Arial" w:cs="Arial"/>
          <w:sz w:val="20"/>
          <w:szCs w:val="20"/>
        </w:rPr>
        <w:t xml:space="preserve">  Analysis of historical program data shows a minimal </w:t>
      </w:r>
      <w:r w:rsidR="00394504" w:rsidRPr="009842A2">
        <w:rPr>
          <w:rFonts w:ascii="Arial" w:hAnsi="Arial" w:cs="Arial"/>
          <w:sz w:val="20"/>
          <w:szCs w:val="20"/>
        </w:rPr>
        <w:t xml:space="preserve">portion of applications are claimed as NC.  </w:t>
      </w:r>
      <w:r w:rsidR="00394504" w:rsidRPr="1AA8F051">
        <w:fldChar w:fldCharType="begin"/>
      </w:r>
      <w:r w:rsidR="00394504" w:rsidRPr="009842A2">
        <w:rPr>
          <w:rFonts w:ascii="Arial" w:hAnsi="Arial" w:cs="Arial"/>
          <w:sz w:val="20"/>
          <w:szCs w:val="20"/>
        </w:rPr>
        <w:instrText xml:space="preserve"> REF _Ref510127887 \h  \* MERGEFORMAT </w:instrText>
      </w:r>
      <w:r w:rsidR="00394504" w:rsidRPr="1AA8F051">
        <w:rPr>
          <w:rFonts w:ascii="Arial" w:hAnsi="Arial" w:cs="Arial"/>
          <w:sz w:val="20"/>
          <w:szCs w:val="20"/>
        </w:rPr>
        <w:fldChar w:fldCharType="separate"/>
      </w:r>
      <w:r w:rsidR="009842A2" w:rsidRPr="009842A2">
        <w:rPr>
          <w:rFonts w:ascii="Arial" w:hAnsi="Arial" w:cs="Arial"/>
          <w:sz w:val="20"/>
          <w:szCs w:val="20"/>
        </w:rPr>
        <w:t xml:space="preserve">Table </w:t>
      </w:r>
      <w:r w:rsidR="009842A2" w:rsidRPr="009842A2">
        <w:rPr>
          <w:rFonts w:ascii="Arial" w:hAnsi="Arial" w:cs="Arial"/>
          <w:noProof/>
          <w:sz w:val="20"/>
          <w:szCs w:val="20"/>
        </w:rPr>
        <w:t>3</w:t>
      </w:r>
      <w:r w:rsidR="00394504" w:rsidRPr="1AA8F051">
        <w:fldChar w:fldCharType="end"/>
      </w:r>
      <w:r w:rsidR="00394504" w:rsidRPr="009842A2">
        <w:rPr>
          <w:rFonts w:ascii="Arial" w:hAnsi="Arial" w:cs="Arial"/>
          <w:sz w:val="20"/>
          <w:szCs w:val="20"/>
        </w:rPr>
        <w:t xml:space="preserve"> shows the kWh percent</w:t>
      </w:r>
      <w:r w:rsidR="009842A2">
        <w:rPr>
          <w:rFonts w:ascii="Arial" w:hAnsi="Arial" w:cs="Arial"/>
          <w:sz w:val="20"/>
          <w:szCs w:val="20"/>
        </w:rPr>
        <w:t>age</w:t>
      </w:r>
      <w:r w:rsidR="00394504" w:rsidRPr="009842A2">
        <w:rPr>
          <w:rFonts w:ascii="Arial" w:hAnsi="Arial" w:cs="Arial"/>
          <w:sz w:val="20"/>
          <w:szCs w:val="20"/>
        </w:rPr>
        <w:t xml:space="preserve"> breakdown of measure applicatio</w:t>
      </w:r>
      <w:r w:rsidR="009842A2">
        <w:rPr>
          <w:rFonts w:ascii="Arial" w:hAnsi="Arial" w:cs="Arial"/>
          <w:sz w:val="20"/>
          <w:szCs w:val="20"/>
        </w:rPr>
        <w:t>n types in the program</w:t>
      </w:r>
      <w:r w:rsidR="00394504" w:rsidRPr="009842A2">
        <w:rPr>
          <w:rFonts w:ascii="Arial" w:hAnsi="Arial" w:cs="Arial"/>
          <w:sz w:val="20"/>
          <w:szCs w:val="20"/>
        </w:rPr>
        <w:t xml:space="preserve">.  Please see </w:t>
      </w:r>
      <w:r w:rsidR="00394504" w:rsidRPr="005649C7">
        <w:rPr>
          <w:rFonts w:ascii="Arial" w:hAnsi="Arial"/>
          <w:sz w:val="20"/>
        </w:rPr>
        <w:t xml:space="preserve">Attachment </w:t>
      </w:r>
      <w:r w:rsidR="009842A2" w:rsidRPr="005649C7">
        <w:rPr>
          <w:rFonts w:ascii="Arial" w:hAnsi="Arial"/>
          <w:sz w:val="20"/>
        </w:rPr>
        <w:t>1</w:t>
      </w:r>
      <w:r w:rsidR="00394504" w:rsidRPr="005649C7">
        <w:rPr>
          <w:rFonts w:ascii="Arial" w:hAnsi="Arial" w:cs="Arial"/>
          <w:sz w:val="20"/>
          <w:szCs w:val="20"/>
        </w:rPr>
        <w:t xml:space="preserve"> </w:t>
      </w:r>
      <w:r w:rsidR="005649C7" w:rsidRPr="005649C7">
        <w:rPr>
          <w:rFonts w:ascii="Arial" w:hAnsi="Arial" w:cs="Arial"/>
          <w:sz w:val="20"/>
          <w:szCs w:val="20"/>
        </w:rPr>
        <w:t>– ROB vs NC</w:t>
      </w:r>
      <w:r w:rsidR="005649C7">
        <w:rPr>
          <w:rFonts w:ascii="Arial" w:hAnsi="Arial" w:cs="Arial"/>
          <w:sz w:val="20"/>
          <w:szCs w:val="20"/>
        </w:rPr>
        <w:t>.xlsx</w:t>
      </w:r>
      <w:r w:rsidR="00394504" w:rsidRPr="009842A2">
        <w:rPr>
          <w:rFonts w:ascii="Arial" w:hAnsi="Arial" w:cs="Arial"/>
          <w:sz w:val="20"/>
          <w:szCs w:val="20"/>
        </w:rPr>
        <w:t xml:space="preserve"> for more detailed information.  </w:t>
      </w:r>
      <w:r w:rsidR="000B6B1A">
        <w:rPr>
          <w:rFonts w:ascii="Arial" w:hAnsi="Arial" w:cs="Arial"/>
          <w:sz w:val="20"/>
          <w:szCs w:val="20"/>
        </w:rPr>
        <w:t>For the interim solution</w:t>
      </w:r>
      <w:r w:rsidR="00394504" w:rsidRPr="009842A2">
        <w:rPr>
          <w:rFonts w:ascii="Arial" w:hAnsi="Arial" w:cs="Arial"/>
          <w:sz w:val="20"/>
          <w:szCs w:val="20"/>
        </w:rPr>
        <w:t>, there is no differentiating</w:t>
      </w:r>
      <w:r w:rsidR="000B6B1A">
        <w:rPr>
          <w:rFonts w:ascii="Arial" w:hAnsi="Arial" w:cs="Arial"/>
          <w:sz w:val="20"/>
          <w:szCs w:val="20"/>
        </w:rPr>
        <w:t xml:space="preserve"> baseline between NC and ROB, however, this will be examined for the next iteration of the workpaper.</w:t>
      </w:r>
    </w:p>
    <w:p w14:paraId="6F815821" w14:textId="25ED15EE" w:rsidR="002B40BA" w:rsidRPr="009842A2" w:rsidRDefault="002B40BA" w:rsidP="00FA5F99">
      <w:pPr>
        <w:rPr>
          <w:rFonts w:ascii="Arial" w:hAnsi="Arial" w:cs="Arial"/>
          <w:sz w:val="20"/>
          <w:szCs w:val="20"/>
        </w:rPr>
      </w:pPr>
    </w:p>
    <w:p w14:paraId="20AF72BC" w14:textId="7B96488D" w:rsidR="00394504" w:rsidRPr="009842A2" w:rsidRDefault="00394504" w:rsidP="00394504">
      <w:pPr>
        <w:pStyle w:val="Caption"/>
        <w:keepNext/>
      </w:pPr>
      <w:bookmarkStart w:id="39" w:name="_Ref510127887"/>
      <w:bookmarkStart w:id="40" w:name="_Toc511038007"/>
      <w:bookmarkStart w:id="41" w:name="_Toc511244268"/>
      <w:bookmarkStart w:id="42" w:name="_Toc511244293"/>
      <w:bookmarkStart w:id="43" w:name="_Toc511244912"/>
      <w:r w:rsidRPr="009842A2">
        <w:t xml:space="preserve">Table </w:t>
      </w:r>
      <w:r w:rsidR="00C426D4">
        <w:fldChar w:fldCharType="begin"/>
      </w:r>
      <w:r w:rsidR="00C426D4">
        <w:instrText xml:space="preserve"> SEQ Table \* ARABIC </w:instrText>
      </w:r>
      <w:r w:rsidR="00C426D4">
        <w:fldChar w:fldCharType="separate"/>
      </w:r>
      <w:r w:rsidR="00E94C25">
        <w:rPr>
          <w:noProof/>
        </w:rPr>
        <w:t>3</w:t>
      </w:r>
      <w:r w:rsidR="00C426D4">
        <w:rPr>
          <w:noProof/>
        </w:rPr>
        <w:fldChar w:fldCharType="end"/>
      </w:r>
      <w:bookmarkEnd w:id="39"/>
      <w:r w:rsidRPr="009842A2">
        <w:t xml:space="preserve"> – Breakdown of ROB vs NC Measure Application Types for 2016</w:t>
      </w:r>
      <w:r w:rsidR="00D26FA7">
        <w:t xml:space="preserve">, </w:t>
      </w:r>
      <w:r w:rsidRPr="009842A2">
        <w:t>2017</w:t>
      </w:r>
      <w:r w:rsidR="00D26FA7">
        <w:t>,</w:t>
      </w:r>
      <w:r w:rsidRPr="009842A2">
        <w:t xml:space="preserve"> and </w:t>
      </w:r>
      <w:r w:rsidR="00D26FA7">
        <w:t>All Program Years</w:t>
      </w:r>
      <w:bookmarkEnd w:id="40"/>
      <w:bookmarkEnd w:id="41"/>
      <w:bookmarkEnd w:id="42"/>
      <w:bookmarkEnd w:id="43"/>
    </w:p>
    <w:tbl>
      <w:tblPr>
        <w:tblStyle w:val="TableGrid"/>
        <w:tblW w:w="0" w:type="auto"/>
        <w:tblLook w:val="04A0" w:firstRow="1" w:lastRow="0" w:firstColumn="1" w:lastColumn="0" w:noHBand="0" w:noVBand="1"/>
      </w:tblPr>
      <w:tblGrid>
        <w:gridCol w:w="2391"/>
        <w:gridCol w:w="2467"/>
        <w:gridCol w:w="2130"/>
        <w:gridCol w:w="2362"/>
      </w:tblGrid>
      <w:tr w:rsidR="009842A2" w:rsidRPr="002E0F0A" w14:paraId="54C8B111" w14:textId="77777777" w:rsidTr="00D26FA7">
        <w:tc>
          <w:tcPr>
            <w:tcW w:w="2391" w:type="dxa"/>
            <w:vAlign w:val="center"/>
          </w:tcPr>
          <w:p w14:paraId="37F365B0" w14:textId="4807EBBA" w:rsidR="009842A2" w:rsidRPr="00F722A8" w:rsidRDefault="009842A2" w:rsidP="00D26FA7">
            <w:pPr>
              <w:jc w:val="center"/>
              <w:rPr>
                <w:rFonts w:ascii="Arial" w:hAnsi="Arial"/>
                <w:b/>
                <w:sz w:val="20"/>
              </w:rPr>
            </w:pPr>
            <w:r w:rsidRPr="00F722A8">
              <w:rPr>
                <w:rFonts w:ascii="Arial" w:hAnsi="Arial"/>
                <w:b/>
                <w:sz w:val="20"/>
              </w:rPr>
              <w:t>Program Year</w:t>
            </w:r>
          </w:p>
        </w:tc>
        <w:tc>
          <w:tcPr>
            <w:tcW w:w="2467" w:type="dxa"/>
            <w:vAlign w:val="center"/>
          </w:tcPr>
          <w:p w14:paraId="0F90DF2A" w14:textId="64F83B57" w:rsidR="009842A2" w:rsidRPr="00F722A8" w:rsidRDefault="009842A2" w:rsidP="00D26FA7">
            <w:pPr>
              <w:jc w:val="center"/>
              <w:rPr>
                <w:rFonts w:ascii="Arial" w:hAnsi="Arial"/>
                <w:b/>
                <w:sz w:val="20"/>
              </w:rPr>
            </w:pPr>
            <w:r w:rsidRPr="00F722A8">
              <w:rPr>
                <w:rFonts w:ascii="Arial" w:hAnsi="Arial"/>
                <w:b/>
                <w:sz w:val="20"/>
              </w:rPr>
              <w:t>Measure Application Type</w:t>
            </w:r>
          </w:p>
        </w:tc>
        <w:tc>
          <w:tcPr>
            <w:tcW w:w="2130" w:type="dxa"/>
            <w:vAlign w:val="center"/>
          </w:tcPr>
          <w:p w14:paraId="0FBEB653" w14:textId="4F757C34" w:rsidR="009842A2" w:rsidRPr="00F722A8" w:rsidRDefault="009842A2" w:rsidP="00D26FA7">
            <w:pPr>
              <w:jc w:val="center"/>
              <w:rPr>
                <w:rFonts w:ascii="Arial" w:hAnsi="Arial"/>
                <w:b/>
                <w:sz w:val="20"/>
              </w:rPr>
            </w:pPr>
            <w:r w:rsidRPr="00F722A8">
              <w:rPr>
                <w:rFonts w:ascii="Arial" w:hAnsi="Arial"/>
                <w:b/>
                <w:sz w:val="20"/>
              </w:rPr>
              <w:t>kWh</w:t>
            </w:r>
          </w:p>
        </w:tc>
        <w:tc>
          <w:tcPr>
            <w:tcW w:w="2362" w:type="dxa"/>
            <w:vAlign w:val="center"/>
          </w:tcPr>
          <w:p w14:paraId="43CE1A03" w14:textId="56CFCB43" w:rsidR="009842A2" w:rsidRPr="00F722A8" w:rsidRDefault="00D26FA7" w:rsidP="00D26FA7">
            <w:pPr>
              <w:jc w:val="center"/>
              <w:rPr>
                <w:rFonts w:ascii="Arial" w:hAnsi="Arial"/>
                <w:b/>
                <w:sz w:val="20"/>
              </w:rPr>
            </w:pPr>
            <w:r w:rsidRPr="00D26FA7">
              <w:rPr>
                <w:rFonts w:ascii="Arial" w:hAnsi="Arial" w:cs="Arial"/>
                <w:b/>
                <w:sz w:val="20"/>
                <w:szCs w:val="20"/>
              </w:rPr>
              <w:t>NC to ROB Percentage</w:t>
            </w:r>
          </w:p>
        </w:tc>
      </w:tr>
      <w:tr w:rsidR="009842A2" w:rsidRPr="002E0F0A" w14:paraId="778E4DBC" w14:textId="77777777" w:rsidTr="00866854">
        <w:tc>
          <w:tcPr>
            <w:tcW w:w="2391" w:type="dxa"/>
            <w:vMerge w:val="restart"/>
            <w:vAlign w:val="center"/>
          </w:tcPr>
          <w:p w14:paraId="323DBA0F" w14:textId="4B4FAF92" w:rsidR="009842A2" w:rsidRPr="00FF271D" w:rsidRDefault="009842A2" w:rsidP="00866854">
            <w:pPr>
              <w:jc w:val="center"/>
              <w:rPr>
                <w:rFonts w:ascii="Arial" w:hAnsi="Arial" w:cs="Arial"/>
                <w:sz w:val="20"/>
                <w:szCs w:val="20"/>
              </w:rPr>
            </w:pPr>
            <w:r w:rsidRPr="00FF271D">
              <w:rPr>
                <w:rFonts w:ascii="Arial" w:hAnsi="Arial" w:cs="Arial"/>
                <w:sz w:val="20"/>
                <w:szCs w:val="20"/>
              </w:rPr>
              <w:t>2016</w:t>
            </w:r>
          </w:p>
        </w:tc>
        <w:tc>
          <w:tcPr>
            <w:tcW w:w="2467" w:type="dxa"/>
            <w:vAlign w:val="center"/>
          </w:tcPr>
          <w:p w14:paraId="0517A5F9" w14:textId="24F93441" w:rsidR="009842A2" w:rsidRPr="00FF271D" w:rsidRDefault="009842A2" w:rsidP="00866854">
            <w:pPr>
              <w:jc w:val="center"/>
              <w:rPr>
                <w:rFonts w:ascii="Arial" w:hAnsi="Arial" w:cs="Arial"/>
                <w:sz w:val="20"/>
                <w:szCs w:val="20"/>
              </w:rPr>
            </w:pPr>
            <w:r w:rsidRPr="00FF271D">
              <w:rPr>
                <w:rFonts w:ascii="Arial" w:hAnsi="Arial" w:cs="Arial"/>
                <w:sz w:val="20"/>
                <w:szCs w:val="20"/>
              </w:rPr>
              <w:t>ROB</w:t>
            </w:r>
          </w:p>
        </w:tc>
        <w:tc>
          <w:tcPr>
            <w:tcW w:w="2130" w:type="dxa"/>
            <w:vAlign w:val="center"/>
          </w:tcPr>
          <w:p w14:paraId="71CD8E36" w14:textId="6E70C01E" w:rsidR="009842A2" w:rsidRPr="00FF271D" w:rsidRDefault="009842A2" w:rsidP="00866854">
            <w:pPr>
              <w:jc w:val="center"/>
              <w:rPr>
                <w:rFonts w:ascii="Arial" w:hAnsi="Arial" w:cs="Arial"/>
                <w:sz w:val="20"/>
                <w:szCs w:val="20"/>
              </w:rPr>
            </w:pPr>
            <w:r w:rsidRPr="00FF271D">
              <w:rPr>
                <w:rFonts w:ascii="Arial" w:hAnsi="Arial" w:cs="Arial"/>
                <w:sz w:val="20"/>
                <w:szCs w:val="20"/>
              </w:rPr>
              <w:t>8,206,486</w:t>
            </w:r>
          </w:p>
        </w:tc>
        <w:tc>
          <w:tcPr>
            <w:tcW w:w="2362" w:type="dxa"/>
            <w:vMerge w:val="restart"/>
            <w:vAlign w:val="center"/>
          </w:tcPr>
          <w:p w14:paraId="7746F0BC" w14:textId="113AB799" w:rsidR="009842A2" w:rsidRPr="00FF271D" w:rsidRDefault="00D26FA7" w:rsidP="00866854">
            <w:pPr>
              <w:jc w:val="center"/>
              <w:rPr>
                <w:rFonts w:ascii="Arial" w:hAnsi="Arial" w:cs="Arial"/>
                <w:sz w:val="20"/>
                <w:szCs w:val="20"/>
              </w:rPr>
            </w:pPr>
            <w:r w:rsidRPr="00D26FA7">
              <w:rPr>
                <w:rFonts w:ascii="Arial" w:hAnsi="Arial" w:cs="Arial"/>
                <w:sz w:val="20"/>
                <w:szCs w:val="20"/>
              </w:rPr>
              <w:t>3.85%</w:t>
            </w:r>
          </w:p>
        </w:tc>
      </w:tr>
      <w:tr w:rsidR="009842A2" w:rsidRPr="002E0F0A" w14:paraId="2DDEA1F4" w14:textId="77777777" w:rsidTr="00866854">
        <w:tc>
          <w:tcPr>
            <w:tcW w:w="2391" w:type="dxa"/>
            <w:vMerge/>
            <w:vAlign w:val="center"/>
          </w:tcPr>
          <w:p w14:paraId="294925CD" w14:textId="62560E46" w:rsidR="009842A2" w:rsidRPr="00FF271D" w:rsidRDefault="009842A2" w:rsidP="00866854">
            <w:pPr>
              <w:jc w:val="center"/>
              <w:rPr>
                <w:rFonts w:ascii="Arial" w:hAnsi="Arial" w:cs="Arial"/>
                <w:sz w:val="20"/>
                <w:szCs w:val="20"/>
              </w:rPr>
            </w:pPr>
          </w:p>
        </w:tc>
        <w:tc>
          <w:tcPr>
            <w:tcW w:w="2467" w:type="dxa"/>
            <w:vAlign w:val="center"/>
          </w:tcPr>
          <w:p w14:paraId="763BF0BA" w14:textId="7B655137" w:rsidR="009842A2" w:rsidRPr="00FF271D" w:rsidRDefault="009842A2" w:rsidP="00866854">
            <w:pPr>
              <w:jc w:val="center"/>
              <w:rPr>
                <w:rFonts w:ascii="Arial" w:hAnsi="Arial" w:cs="Arial"/>
                <w:sz w:val="20"/>
                <w:szCs w:val="20"/>
              </w:rPr>
            </w:pPr>
            <w:r w:rsidRPr="00FF271D">
              <w:rPr>
                <w:rFonts w:ascii="Arial" w:hAnsi="Arial" w:cs="Arial"/>
                <w:sz w:val="20"/>
                <w:szCs w:val="20"/>
              </w:rPr>
              <w:t>NC</w:t>
            </w:r>
          </w:p>
        </w:tc>
        <w:tc>
          <w:tcPr>
            <w:tcW w:w="2130" w:type="dxa"/>
            <w:vAlign w:val="center"/>
          </w:tcPr>
          <w:p w14:paraId="5249FDB5" w14:textId="5D9FA972" w:rsidR="009842A2" w:rsidRPr="00FF271D" w:rsidRDefault="009842A2" w:rsidP="00866854">
            <w:pPr>
              <w:jc w:val="center"/>
              <w:rPr>
                <w:rFonts w:ascii="Arial" w:hAnsi="Arial" w:cs="Arial"/>
                <w:sz w:val="20"/>
                <w:szCs w:val="20"/>
              </w:rPr>
            </w:pPr>
            <w:r w:rsidRPr="00FF271D">
              <w:rPr>
                <w:rFonts w:ascii="Arial" w:hAnsi="Arial" w:cs="Arial"/>
                <w:sz w:val="20"/>
                <w:szCs w:val="20"/>
              </w:rPr>
              <w:t>328,312</w:t>
            </w:r>
          </w:p>
        </w:tc>
        <w:tc>
          <w:tcPr>
            <w:tcW w:w="2362" w:type="dxa"/>
            <w:vMerge/>
            <w:vAlign w:val="center"/>
          </w:tcPr>
          <w:p w14:paraId="748F05CE" w14:textId="0E4E7EF9" w:rsidR="009842A2" w:rsidRPr="00FF271D" w:rsidRDefault="009842A2" w:rsidP="00866854">
            <w:pPr>
              <w:jc w:val="center"/>
              <w:rPr>
                <w:rFonts w:ascii="Arial" w:hAnsi="Arial" w:cs="Arial"/>
                <w:sz w:val="20"/>
                <w:szCs w:val="20"/>
              </w:rPr>
            </w:pPr>
          </w:p>
        </w:tc>
      </w:tr>
      <w:tr w:rsidR="009842A2" w:rsidRPr="002E0F0A" w14:paraId="476433B1" w14:textId="77777777" w:rsidTr="00866854">
        <w:tc>
          <w:tcPr>
            <w:tcW w:w="2391" w:type="dxa"/>
            <w:vMerge w:val="restart"/>
            <w:vAlign w:val="center"/>
          </w:tcPr>
          <w:p w14:paraId="50F7D9B1" w14:textId="38463181" w:rsidR="009842A2" w:rsidRPr="00FF271D" w:rsidRDefault="009842A2" w:rsidP="00866854">
            <w:pPr>
              <w:jc w:val="center"/>
              <w:rPr>
                <w:rFonts w:ascii="Arial" w:hAnsi="Arial" w:cs="Arial"/>
                <w:sz w:val="20"/>
                <w:szCs w:val="20"/>
              </w:rPr>
            </w:pPr>
            <w:r w:rsidRPr="00FF271D">
              <w:rPr>
                <w:rFonts w:ascii="Arial" w:hAnsi="Arial" w:cs="Arial"/>
                <w:sz w:val="20"/>
                <w:szCs w:val="20"/>
              </w:rPr>
              <w:t>2017</w:t>
            </w:r>
          </w:p>
        </w:tc>
        <w:tc>
          <w:tcPr>
            <w:tcW w:w="2467" w:type="dxa"/>
            <w:vAlign w:val="center"/>
          </w:tcPr>
          <w:p w14:paraId="4F674327" w14:textId="04AA3D2B" w:rsidR="009842A2" w:rsidRPr="00FF271D" w:rsidRDefault="009842A2" w:rsidP="00866854">
            <w:pPr>
              <w:jc w:val="center"/>
              <w:rPr>
                <w:rFonts w:ascii="Arial" w:hAnsi="Arial" w:cs="Arial"/>
                <w:sz w:val="20"/>
                <w:szCs w:val="20"/>
              </w:rPr>
            </w:pPr>
            <w:r w:rsidRPr="00FF271D">
              <w:rPr>
                <w:rFonts w:ascii="Arial" w:hAnsi="Arial" w:cs="Arial"/>
                <w:sz w:val="20"/>
                <w:szCs w:val="20"/>
              </w:rPr>
              <w:t>ROB</w:t>
            </w:r>
          </w:p>
        </w:tc>
        <w:tc>
          <w:tcPr>
            <w:tcW w:w="2130" w:type="dxa"/>
            <w:vAlign w:val="center"/>
          </w:tcPr>
          <w:p w14:paraId="74910F76" w14:textId="22D2D412" w:rsidR="009842A2" w:rsidRPr="00FF271D" w:rsidRDefault="009842A2" w:rsidP="00866854">
            <w:pPr>
              <w:jc w:val="center"/>
              <w:rPr>
                <w:rFonts w:ascii="Arial" w:hAnsi="Arial" w:cs="Arial"/>
                <w:sz w:val="20"/>
                <w:szCs w:val="20"/>
              </w:rPr>
            </w:pPr>
            <w:r w:rsidRPr="00FF271D">
              <w:rPr>
                <w:rFonts w:ascii="Arial" w:hAnsi="Arial" w:cs="Arial"/>
                <w:sz w:val="20"/>
                <w:szCs w:val="20"/>
              </w:rPr>
              <w:t>10,041,284</w:t>
            </w:r>
          </w:p>
        </w:tc>
        <w:tc>
          <w:tcPr>
            <w:tcW w:w="2362" w:type="dxa"/>
            <w:vMerge w:val="restart"/>
            <w:vAlign w:val="center"/>
          </w:tcPr>
          <w:p w14:paraId="4787FF91" w14:textId="661987E4" w:rsidR="009842A2" w:rsidRPr="00FF271D" w:rsidRDefault="00D26FA7" w:rsidP="00866854">
            <w:pPr>
              <w:jc w:val="center"/>
              <w:rPr>
                <w:rFonts w:ascii="Arial" w:hAnsi="Arial" w:cs="Arial"/>
                <w:sz w:val="20"/>
                <w:szCs w:val="20"/>
              </w:rPr>
            </w:pPr>
            <w:r w:rsidRPr="00D26FA7">
              <w:rPr>
                <w:rFonts w:ascii="Arial" w:hAnsi="Arial" w:cs="Arial"/>
                <w:sz w:val="20"/>
                <w:szCs w:val="20"/>
              </w:rPr>
              <w:t>1.05%</w:t>
            </w:r>
          </w:p>
        </w:tc>
      </w:tr>
      <w:tr w:rsidR="009842A2" w:rsidRPr="002E0F0A" w14:paraId="7BF0D5A4" w14:textId="77777777" w:rsidTr="00866854">
        <w:tc>
          <w:tcPr>
            <w:tcW w:w="2391" w:type="dxa"/>
            <w:vMerge/>
            <w:vAlign w:val="center"/>
          </w:tcPr>
          <w:p w14:paraId="6A1FFB38" w14:textId="3F70F8F5" w:rsidR="009842A2" w:rsidRPr="00FF271D" w:rsidRDefault="009842A2" w:rsidP="00866854">
            <w:pPr>
              <w:jc w:val="center"/>
              <w:rPr>
                <w:rFonts w:ascii="Arial" w:hAnsi="Arial" w:cs="Arial"/>
                <w:sz w:val="20"/>
                <w:szCs w:val="20"/>
              </w:rPr>
            </w:pPr>
          </w:p>
        </w:tc>
        <w:tc>
          <w:tcPr>
            <w:tcW w:w="2467" w:type="dxa"/>
            <w:vAlign w:val="center"/>
          </w:tcPr>
          <w:p w14:paraId="67F57F17" w14:textId="131E913B" w:rsidR="009842A2" w:rsidRPr="00FF271D" w:rsidRDefault="009842A2" w:rsidP="00866854">
            <w:pPr>
              <w:jc w:val="center"/>
              <w:rPr>
                <w:rFonts w:ascii="Arial" w:hAnsi="Arial" w:cs="Arial"/>
                <w:sz w:val="20"/>
                <w:szCs w:val="20"/>
              </w:rPr>
            </w:pPr>
            <w:r w:rsidRPr="00FF271D">
              <w:rPr>
                <w:rFonts w:ascii="Arial" w:hAnsi="Arial" w:cs="Arial"/>
                <w:sz w:val="20"/>
                <w:szCs w:val="20"/>
              </w:rPr>
              <w:t>NC</w:t>
            </w:r>
          </w:p>
        </w:tc>
        <w:tc>
          <w:tcPr>
            <w:tcW w:w="2130" w:type="dxa"/>
            <w:vAlign w:val="center"/>
          </w:tcPr>
          <w:p w14:paraId="1E348D6E" w14:textId="1FE6C24C" w:rsidR="009842A2" w:rsidRPr="00FF271D" w:rsidRDefault="009842A2" w:rsidP="00866854">
            <w:pPr>
              <w:jc w:val="center"/>
              <w:rPr>
                <w:rFonts w:ascii="Arial" w:hAnsi="Arial" w:cs="Arial"/>
                <w:sz w:val="20"/>
                <w:szCs w:val="20"/>
              </w:rPr>
            </w:pPr>
            <w:r w:rsidRPr="00FF271D">
              <w:rPr>
                <w:rFonts w:ascii="Arial" w:hAnsi="Arial" w:cs="Arial"/>
                <w:sz w:val="20"/>
                <w:szCs w:val="20"/>
              </w:rPr>
              <w:t>106,357</w:t>
            </w:r>
          </w:p>
        </w:tc>
        <w:tc>
          <w:tcPr>
            <w:tcW w:w="2362" w:type="dxa"/>
            <w:vMerge/>
            <w:vAlign w:val="center"/>
          </w:tcPr>
          <w:p w14:paraId="501976D6" w14:textId="193DEAE7" w:rsidR="009842A2" w:rsidRPr="00FF271D" w:rsidRDefault="009842A2" w:rsidP="00866854">
            <w:pPr>
              <w:jc w:val="center"/>
              <w:rPr>
                <w:rFonts w:ascii="Arial" w:hAnsi="Arial" w:cs="Arial"/>
                <w:sz w:val="20"/>
                <w:szCs w:val="20"/>
              </w:rPr>
            </w:pPr>
          </w:p>
        </w:tc>
      </w:tr>
      <w:tr w:rsidR="009842A2" w:rsidRPr="002E0F0A" w14:paraId="7D9C474A" w14:textId="77777777" w:rsidTr="00866854">
        <w:tc>
          <w:tcPr>
            <w:tcW w:w="2391" w:type="dxa"/>
            <w:vMerge w:val="restart"/>
            <w:vAlign w:val="center"/>
          </w:tcPr>
          <w:p w14:paraId="00C676CF" w14:textId="75F384FA" w:rsidR="009842A2" w:rsidRPr="00FF271D" w:rsidRDefault="009842A2" w:rsidP="00866854">
            <w:pPr>
              <w:jc w:val="center"/>
              <w:rPr>
                <w:rFonts w:ascii="Arial" w:hAnsi="Arial" w:cs="Arial"/>
                <w:sz w:val="20"/>
                <w:szCs w:val="20"/>
              </w:rPr>
            </w:pPr>
            <w:r w:rsidRPr="00FF271D">
              <w:rPr>
                <w:rFonts w:ascii="Arial" w:hAnsi="Arial" w:cs="Arial"/>
                <w:sz w:val="20"/>
                <w:szCs w:val="20"/>
              </w:rPr>
              <w:t>All Program Years (2015 – Present 2018)</w:t>
            </w:r>
          </w:p>
        </w:tc>
        <w:tc>
          <w:tcPr>
            <w:tcW w:w="2467" w:type="dxa"/>
            <w:vAlign w:val="center"/>
          </w:tcPr>
          <w:p w14:paraId="58C89ED7" w14:textId="278089A9" w:rsidR="009842A2" w:rsidRPr="00FF271D" w:rsidRDefault="009842A2" w:rsidP="00866854">
            <w:pPr>
              <w:jc w:val="center"/>
              <w:rPr>
                <w:rFonts w:ascii="Arial" w:hAnsi="Arial" w:cs="Arial"/>
                <w:sz w:val="20"/>
                <w:szCs w:val="20"/>
              </w:rPr>
            </w:pPr>
            <w:r w:rsidRPr="00FF271D">
              <w:rPr>
                <w:rFonts w:ascii="Arial" w:hAnsi="Arial" w:cs="Arial"/>
                <w:sz w:val="20"/>
                <w:szCs w:val="20"/>
              </w:rPr>
              <w:t>ROB</w:t>
            </w:r>
          </w:p>
        </w:tc>
        <w:tc>
          <w:tcPr>
            <w:tcW w:w="2130" w:type="dxa"/>
            <w:vAlign w:val="center"/>
          </w:tcPr>
          <w:p w14:paraId="23828E6D" w14:textId="6DE87785" w:rsidR="009842A2" w:rsidRPr="00FF271D" w:rsidRDefault="009842A2" w:rsidP="00866854">
            <w:pPr>
              <w:jc w:val="center"/>
              <w:rPr>
                <w:rFonts w:ascii="Arial" w:hAnsi="Arial" w:cs="Arial"/>
                <w:sz w:val="20"/>
                <w:szCs w:val="20"/>
              </w:rPr>
            </w:pPr>
            <w:r w:rsidRPr="00FF271D">
              <w:rPr>
                <w:rFonts w:ascii="Arial" w:hAnsi="Arial" w:cs="Arial"/>
                <w:sz w:val="20"/>
                <w:szCs w:val="20"/>
              </w:rPr>
              <w:t>19,615,254</w:t>
            </w:r>
          </w:p>
        </w:tc>
        <w:tc>
          <w:tcPr>
            <w:tcW w:w="2362" w:type="dxa"/>
            <w:vMerge w:val="restart"/>
            <w:vAlign w:val="center"/>
          </w:tcPr>
          <w:p w14:paraId="629EB540" w14:textId="39FF06AD" w:rsidR="009842A2" w:rsidRPr="00FF271D" w:rsidRDefault="00D26FA7" w:rsidP="00866854">
            <w:pPr>
              <w:jc w:val="center"/>
              <w:rPr>
                <w:rFonts w:ascii="Arial" w:hAnsi="Arial" w:cs="Arial"/>
                <w:sz w:val="20"/>
                <w:szCs w:val="20"/>
              </w:rPr>
            </w:pPr>
            <w:r w:rsidRPr="00D26FA7">
              <w:rPr>
                <w:rFonts w:ascii="Arial" w:hAnsi="Arial" w:cs="Arial"/>
                <w:sz w:val="20"/>
                <w:szCs w:val="20"/>
              </w:rPr>
              <w:t>2.20%</w:t>
            </w:r>
          </w:p>
        </w:tc>
      </w:tr>
      <w:tr w:rsidR="009842A2" w:rsidRPr="002E0F0A" w14:paraId="7AEC3576" w14:textId="77777777" w:rsidTr="009842A2">
        <w:tc>
          <w:tcPr>
            <w:tcW w:w="2391" w:type="dxa"/>
            <w:vMerge/>
          </w:tcPr>
          <w:p w14:paraId="293CB177" w14:textId="77777777" w:rsidR="009842A2" w:rsidRPr="00FF271D" w:rsidRDefault="009842A2" w:rsidP="00FA5F99">
            <w:pPr>
              <w:rPr>
                <w:rFonts w:ascii="Arial" w:hAnsi="Arial" w:cs="Arial"/>
                <w:sz w:val="20"/>
                <w:szCs w:val="20"/>
              </w:rPr>
            </w:pPr>
          </w:p>
        </w:tc>
        <w:tc>
          <w:tcPr>
            <w:tcW w:w="2467" w:type="dxa"/>
          </w:tcPr>
          <w:p w14:paraId="1870E96A" w14:textId="6890AF19" w:rsidR="009842A2" w:rsidRPr="00FF271D" w:rsidRDefault="009842A2" w:rsidP="00866854">
            <w:pPr>
              <w:jc w:val="center"/>
              <w:rPr>
                <w:rFonts w:ascii="Arial" w:hAnsi="Arial" w:cs="Arial"/>
                <w:sz w:val="20"/>
                <w:szCs w:val="20"/>
              </w:rPr>
            </w:pPr>
            <w:r w:rsidRPr="00FF271D">
              <w:rPr>
                <w:rFonts w:ascii="Arial" w:hAnsi="Arial" w:cs="Arial"/>
                <w:sz w:val="20"/>
                <w:szCs w:val="20"/>
              </w:rPr>
              <w:t>NC</w:t>
            </w:r>
          </w:p>
        </w:tc>
        <w:tc>
          <w:tcPr>
            <w:tcW w:w="2130" w:type="dxa"/>
          </w:tcPr>
          <w:p w14:paraId="3EB7506A" w14:textId="2017A2BE" w:rsidR="009842A2" w:rsidRPr="00FF271D" w:rsidRDefault="009842A2" w:rsidP="00866854">
            <w:pPr>
              <w:jc w:val="center"/>
              <w:rPr>
                <w:rFonts w:ascii="Arial" w:hAnsi="Arial" w:cs="Arial"/>
                <w:sz w:val="20"/>
                <w:szCs w:val="20"/>
              </w:rPr>
            </w:pPr>
            <w:r w:rsidRPr="00FF271D">
              <w:rPr>
                <w:rFonts w:ascii="Arial" w:hAnsi="Arial" w:cs="Arial"/>
                <w:sz w:val="20"/>
                <w:szCs w:val="20"/>
              </w:rPr>
              <w:t>442,036</w:t>
            </w:r>
          </w:p>
        </w:tc>
        <w:tc>
          <w:tcPr>
            <w:tcW w:w="2362" w:type="dxa"/>
            <w:vMerge/>
          </w:tcPr>
          <w:p w14:paraId="1994C23C" w14:textId="35312041" w:rsidR="009842A2" w:rsidRPr="00FF271D" w:rsidRDefault="009842A2" w:rsidP="00FA5F99">
            <w:pPr>
              <w:rPr>
                <w:rFonts w:ascii="Arial" w:hAnsi="Arial" w:cs="Arial"/>
                <w:sz w:val="20"/>
                <w:szCs w:val="20"/>
              </w:rPr>
            </w:pPr>
          </w:p>
        </w:tc>
      </w:tr>
    </w:tbl>
    <w:p w14:paraId="1E3789B9" w14:textId="77777777" w:rsidR="00394504" w:rsidRPr="002E0F0A" w:rsidRDefault="00394504" w:rsidP="00FA5F99">
      <w:pPr>
        <w:rPr>
          <w:rFonts w:ascii="Arial" w:hAnsi="Arial" w:cs="Arial"/>
          <w:sz w:val="20"/>
          <w:szCs w:val="20"/>
          <w:highlight w:val="yellow"/>
        </w:rPr>
      </w:pPr>
    </w:p>
    <w:p w14:paraId="3FDD8243" w14:textId="59B4A6F0" w:rsidR="002B40BA" w:rsidRDefault="002B40BA" w:rsidP="00FA5F99">
      <w:pPr>
        <w:rPr>
          <w:rFonts w:ascii="Arial" w:hAnsi="Arial" w:cs="Arial"/>
          <w:sz w:val="20"/>
          <w:szCs w:val="20"/>
        </w:rPr>
      </w:pPr>
      <w:r w:rsidRPr="00866854">
        <w:rPr>
          <w:rFonts w:ascii="Arial" w:hAnsi="Arial"/>
          <w:sz w:val="20"/>
        </w:rPr>
        <w:t xml:space="preserve">Please refer to Section </w:t>
      </w:r>
      <w:r w:rsidRPr="1AA8F051">
        <w:fldChar w:fldCharType="begin"/>
      </w:r>
      <w:r w:rsidRPr="00866854">
        <w:rPr>
          <w:rFonts w:ascii="Arial" w:hAnsi="Arial"/>
          <w:sz w:val="20"/>
        </w:rPr>
        <w:instrText xml:space="preserve"> REF _Ref510121468 \h  \* MERGEFORMAT </w:instrText>
      </w:r>
      <w:r w:rsidRPr="1AA8F051">
        <w:rPr>
          <w:rFonts w:ascii="Arial" w:hAnsi="Arial"/>
          <w:sz w:val="20"/>
        </w:rPr>
        <w:fldChar w:fldCharType="separate"/>
      </w:r>
      <w:r w:rsidRPr="00866854">
        <w:rPr>
          <w:rFonts w:ascii="Arial" w:hAnsi="Arial"/>
          <w:sz w:val="20"/>
        </w:rPr>
        <w:t>1.6 Data Quality and Future Data Needs</w:t>
      </w:r>
      <w:r w:rsidRPr="1AA8F051">
        <w:fldChar w:fldCharType="end"/>
      </w:r>
      <w:r w:rsidRPr="00866854">
        <w:rPr>
          <w:rFonts w:ascii="Arial" w:hAnsi="Arial"/>
          <w:sz w:val="18"/>
        </w:rPr>
        <w:t xml:space="preserve"> </w:t>
      </w:r>
      <w:r w:rsidRPr="00866854">
        <w:rPr>
          <w:rFonts w:ascii="Arial" w:hAnsi="Arial"/>
          <w:sz w:val="20"/>
        </w:rPr>
        <w:t>on efforts to include Early Retirement (ER) in the next iteration of the workpaper.</w:t>
      </w:r>
    </w:p>
    <w:p w14:paraId="6A2460BC" w14:textId="47B1196A" w:rsidR="00866854" w:rsidRDefault="00866854" w:rsidP="00FA5F99">
      <w:pPr>
        <w:rPr>
          <w:rFonts w:ascii="Arial" w:hAnsi="Arial" w:cs="Arial"/>
          <w:sz w:val="20"/>
          <w:szCs w:val="20"/>
        </w:rPr>
      </w:pPr>
    </w:p>
    <w:p w14:paraId="7028DAB6" w14:textId="34284756" w:rsidR="00866854" w:rsidRDefault="00866854" w:rsidP="00FA5F99">
      <w:pPr>
        <w:rPr>
          <w:rFonts w:ascii="Arial" w:hAnsi="Arial" w:cs="Arial"/>
          <w:sz w:val="20"/>
          <w:szCs w:val="20"/>
        </w:rPr>
      </w:pPr>
      <w:r>
        <w:rPr>
          <w:rFonts w:ascii="Arial" w:hAnsi="Arial" w:cs="Arial"/>
          <w:sz w:val="20"/>
          <w:szCs w:val="20"/>
        </w:rPr>
        <w:t>Historically, the workpaper supports Programs with a downstream and direct install delivery channel with re</w:t>
      </w:r>
      <w:r w:rsidR="002A19D4">
        <w:rPr>
          <w:rFonts w:ascii="Arial" w:hAnsi="Arial" w:cs="Arial"/>
          <w:sz w:val="20"/>
          <w:szCs w:val="20"/>
        </w:rPr>
        <w:t>place</w:t>
      </w:r>
      <w:r>
        <w:rPr>
          <w:rFonts w:ascii="Arial" w:hAnsi="Arial" w:cs="Arial"/>
          <w:sz w:val="20"/>
          <w:szCs w:val="20"/>
        </w:rPr>
        <w:t>-on-burnout and new construction measure application types.  There are p</w:t>
      </w:r>
      <w:r w:rsidR="000D06CE">
        <w:rPr>
          <w:rFonts w:ascii="Arial" w:hAnsi="Arial" w:cs="Arial"/>
          <w:sz w:val="20"/>
          <w:szCs w:val="20"/>
        </w:rPr>
        <w:t>otential p</w:t>
      </w:r>
      <w:r>
        <w:rPr>
          <w:rFonts w:ascii="Arial" w:hAnsi="Arial" w:cs="Arial"/>
          <w:sz w:val="20"/>
          <w:szCs w:val="20"/>
        </w:rPr>
        <w:t xml:space="preserve">lans for </w:t>
      </w:r>
      <w:r w:rsidR="005649C7">
        <w:rPr>
          <w:rFonts w:ascii="Arial" w:hAnsi="Arial" w:cs="Arial"/>
          <w:sz w:val="20"/>
          <w:szCs w:val="20"/>
        </w:rPr>
        <w:t>a</w:t>
      </w:r>
      <w:r>
        <w:rPr>
          <w:rFonts w:ascii="Arial" w:hAnsi="Arial" w:cs="Arial"/>
          <w:sz w:val="20"/>
          <w:szCs w:val="20"/>
        </w:rPr>
        <w:t xml:space="preserve"> </w:t>
      </w:r>
      <w:r w:rsidR="002A19D4">
        <w:rPr>
          <w:rFonts w:ascii="Arial" w:hAnsi="Arial" w:cs="Arial"/>
          <w:sz w:val="20"/>
          <w:szCs w:val="20"/>
        </w:rPr>
        <w:t>midstream</w:t>
      </w:r>
      <w:r>
        <w:rPr>
          <w:rFonts w:ascii="Arial" w:hAnsi="Arial" w:cs="Arial"/>
          <w:sz w:val="20"/>
          <w:szCs w:val="20"/>
        </w:rPr>
        <w:t xml:space="preserve"> expansion</w:t>
      </w:r>
      <w:r w:rsidR="000D06CE">
        <w:rPr>
          <w:rFonts w:ascii="Arial" w:hAnsi="Arial" w:cs="Arial"/>
          <w:sz w:val="20"/>
          <w:szCs w:val="20"/>
        </w:rPr>
        <w:t xml:space="preserve"> in the future.</w:t>
      </w:r>
    </w:p>
    <w:p w14:paraId="4D98E4DB" w14:textId="18856412" w:rsidR="007F1856" w:rsidRDefault="007F1856" w:rsidP="00FA5F99">
      <w:pPr>
        <w:rPr>
          <w:rFonts w:ascii="Arial" w:hAnsi="Arial" w:cs="Arial"/>
          <w:sz w:val="20"/>
          <w:szCs w:val="20"/>
        </w:rPr>
      </w:pPr>
    </w:p>
    <w:p w14:paraId="4B027E61" w14:textId="1C78FC83" w:rsidR="00FD6117" w:rsidRDefault="00FD6117" w:rsidP="00394504">
      <w:pPr>
        <w:pStyle w:val="Caption"/>
        <w:keepNext/>
      </w:pPr>
      <w:bookmarkStart w:id="44" w:name="_Toc511038008"/>
      <w:bookmarkStart w:id="45" w:name="_Toc511244269"/>
      <w:bookmarkStart w:id="46" w:name="_Toc511244294"/>
      <w:bookmarkStart w:id="47" w:name="_Toc511244913"/>
      <w:r>
        <w:lastRenderedPageBreak/>
        <w:t xml:space="preserve">Table </w:t>
      </w:r>
      <w:r w:rsidR="00C426D4">
        <w:fldChar w:fldCharType="begin"/>
      </w:r>
      <w:r w:rsidR="00C426D4">
        <w:instrText xml:space="preserve"> SEQ Table \* ARABIC </w:instrText>
      </w:r>
      <w:r w:rsidR="00C426D4">
        <w:fldChar w:fldCharType="separate"/>
      </w:r>
      <w:r w:rsidR="00E94C25">
        <w:rPr>
          <w:noProof/>
        </w:rPr>
        <w:t>4</w:t>
      </w:r>
      <w:r w:rsidR="00C426D4">
        <w:rPr>
          <w:noProof/>
        </w:rPr>
        <w:fldChar w:fldCharType="end"/>
      </w:r>
      <w:r>
        <w:t xml:space="preserve"> - Delivery Method and Applicable Building Types</w:t>
      </w:r>
      <w:bookmarkEnd w:id="44"/>
      <w:bookmarkEnd w:id="45"/>
      <w:bookmarkEnd w:id="46"/>
      <w:bookmarkEnd w:id="47"/>
    </w:p>
    <w:tbl>
      <w:tblPr>
        <w:tblStyle w:val="TableGrid"/>
        <w:tblW w:w="0" w:type="auto"/>
        <w:jc w:val="center"/>
        <w:tblLook w:val="04A0" w:firstRow="1" w:lastRow="0" w:firstColumn="1" w:lastColumn="0" w:noHBand="0" w:noVBand="1"/>
      </w:tblPr>
      <w:tblGrid>
        <w:gridCol w:w="1998"/>
        <w:gridCol w:w="5400"/>
        <w:gridCol w:w="2178"/>
      </w:tblGrid>
      <w:tr w:rsidR="00FD6117" w:rsidRPr="00E24055" w14:paraId="709F69D6" w14:textId="77777777" w:rsidTr="00A43F43">
        <w:trPr>
          <w:jc w:val="center"/>
        </w:trPr>
        <w:tc>
          <w:tcPr>
            <w:tcW w:w="1998" w:type="dxa"/>
            <w:shd w:val="clear" w:color="auto" w:fill="D9D9D9" w:themeFill="background1" w:themeFillShade="D9"/>
            <w:vAlign w:val="center"/>
          </w:tcPr>
          <w:p w14:paraId="39B73537" w14:textId="77777777" w:rsidR="00FD6117" w:rsidRPr="00E24055" w:rsidRDefault="00FD6117" w:rsidP="00A43F43">
            <w:pPr>
              <w:rPr>
                <w:rFonts w:ascii="Arial" w:hAnsi="Arial" w:cs="Arial"/>
                <w:b/>
                <w:sz w:val="20"/>
                <w:szCs w:val="20"/>
              </w:rPr>
            </w:pPr>
            <w:r w:rsidRPr="00E24055">
              <w:rPr>
                <w:rFonts w:ascii="Arial" w:hAnsi="Arial" w:cs="Arial"/>
                <w:b/>
                <w:sz w:val="20"/>
                <w:szCs w:val="20"/>
              </w:rPr>
              <w:t>Delivery Type</w:t>
            </w:r>
          </w:p>
        </w:tc>
        <w:tc>
          <w:tcPr>
            <w:tcW w:w="5400" w:type="dxa"/>
            <w:shd w:val="clear" w:color="auto" w:fill="D9D9D9" w:themeFill="background1" w:themeFillShade="D9"/>
            <w:vAlign w:val="center"/>
          </w:tcPr>
          <w:p w14:paraId="448160FD" w14:textId="77777777" w:rsidR="00FD6117" w:rsidRPr="00E24055" w:rsidRDefault="00FD6117" w:rsidP="00A43F43">
            <w:pPr>
              <w:rPr>
                <w:rFonts w:ascii="Arial" w:hAnsi="Arial" w:cs="Arial"/>
                <w:b/>
                <w:sz w:val="20"/>
                <w:szCs w:val="20"/>
              </w:rPr>
            </w:pPr>
            <w:r w:rsidRPr="00E24055">
              <w:rPr>
                <w:rFonts w:ascii="Arial" w:hAnsi="Arial" w:cs="Arial"/>
                <w:b/>
                <w:sz w:val="20"/>
                <w:szCs w:val="20"/>
              </w:rPr>
              <w:t>Applicable Building Types</w:t>
            </w:r>
          </w:p>
        </w:tc>
        <w:tc>
          <w:tcPr>
            <w:tcW w:w="2178" w:type="dxa"/>
            <w:shd w:val="clear" w:color="auto" w:fill="D9D9D9" w:themeFill="background1" w:themeFillShade="D9"/>
            <w:vAlign w:val="center"/>
          </w:tcPr>
          <w:p w14:paraId="327293DE" w14:textId="77777777" w:rsidR="00FD6117" w:rsidRPr="00E24055" w:rsidRDefault="00FD6117" w:rsidP="00A43F43">
            <w:pPr>
              <w:rPr>
                <w:rFonts w:ascii="Arial" w:hAnsi="Arial" w:cs="Arial"/>
                <w:b/>
                <w:sz w:val="20"/>
                <w:szCs w:val="20"/>
              </w:rPr>
            </w:pPr>
            <w:r>
              <w:rPr>
                <w:rFonts w:ascii="Arial" w:hAnsi="Arial" w:cs="Arial"/>
                <w:b/>
                <w:sz w:val="20"/>
                <w:szCs w:val="20"/>
              </w:rPr>
              <w:t>Application Type</w:t>
            </w:r>
          </w:p>
        </w:tc>
      </w:tr>
      <w:tr w:rsidR="00FD6117" w14:paraId="47D58F7B" w14:textId="77777777" w:rsidTr="00A43F43">
        <w:trPr>
          <w:jc w:val="center"/>
        </w:trPr>
        <w:tc>
          <w:tcPr>
            <w:tcW w:w="1998" w:type="dxa"/>
            <w:vAlign w:val="center"/>
          </w:tcPr>
          <w:p w14:paraId="2EAC2DCE" w14:textId="70C3185D" w:rsidR="00FD6117" w:rsidRDefault="007B0C19" w:rsidP="00A43F43">
            <w:pPr>
              <w:rPr>
                <w:rFonts w:ascii="Arial" w:hAnsi="Arial" w:cs="Arial"/>
                <w:sz w:val="20"/>
                <w:szCs w:val="20"/>
              </w:rPr>
            </w:pPr>
            <w:r>
              <w:rPr>
                <w:rFonts w:ascii="Arial" w:hAnsi="Arial" w:cs="Arial"/>
                <w:sz w:val="20"/>
                <w:szCs w:val="20"/>
              </w:rPr>
              <w:t>Downstream, Mid</w:t>
            </w:r>
            <w:r w:rsidR="00FD6117">
              <w:rPr>
                <w:rFonts w:ascii="Arial" w:hAnsi="Arial" w:cs="Arial"/>
                <w:sz w:val="20"/>
                <w:szCs w:val="20"/>
              </w:rPr>
              <w:t>stream, &amp; Direct Install</w:t>
            </w:r>
          </w:p>
        </w:tc>
        <w:tc>
          <w:tcPr>
            <w:tcW w:w="5400" w:type="dxa"/>
            <w:vAlign w:val="center"/>
          </w:tcPr>
          <w:p w14:paraId="1E660371" w14:textId="77777777" w:rsidR="00FD6117" w:rsidRDefault="00FD6117" w:rsidP="00A43F43">
            <w:pPr>
              <w:rPr>
                <w:rFonts w:ascii="Arial" w:hAnsi="Arial" w:cs="Arial"/>
                <w:sz w:val="20"/>
                <w:szCs w:val="20"/>
              </w:rPr>
            </w:pPr>
            <w:r>
              <w:rPr>
                <w:rFonts w:ascii="Arial" w:hAnsi="Arial" w:cs="Arial"/>
                <w:sz w:val="20"/>
                <w:szCs w:val="20"/>
              </w:rPr>
              <w:t>DEER Building Types</w:t>
            </w:r>
          </w:p>
        </w:tc>
        <w:tc>
          <w:tcPr>
            <w:tcW w:w="2178" w:type="dxa"/>
            <w:vAlign w:val="center"/>
          </w:tcPr>
          <w:p w14:paraId="4A9EC417" w14:textId="77777777" w:rsidR="00FD6117" w:rsidRDefault="00FD6117" w:rsidP="00A43F43">
            <w:pPr>
              <w:rPr>
                <w:rFonts w:ascii="Arial" w:hAnsi="Arial" w:cs="Arial"/>
                <w:sz w:val="20"/>
                <w:szCs w:val="20"/>
              </w:rPr>
            </w:pPr>
            <w:r>
              <w:rPr>
                <w:rFonts w:ascii="Arial" w:hAnsi="Arial" w:cs="Arial"/>
                <w:sz w:val="20"/>
                <w:szCs w:val="20"/>
              </w:rPr>
              <w:t>ROB, NC</w:t>
            </w:r>
          </w:p>
        </w:tc>
      </w:tr>
    </w:tbl>
    <w:p w14:paraId="73AD7E67" w14:textId="7F5E5CB6" w:rsidR="00706B82" w:rsidRDefault="00706B82" w:rsidP="00706B82">
      <w:pPr>
        <w:pStyle w:val="Heading2"/>
        <w:keepNext w:val="0"/>
      </w:pPr>
      <w:bookmarkStart w:id="48" w:name="_Toc511038029"/>
      <w:bookmarkStart w:id="49" w:name="_Toc511244881"/>
      <w:r>
        <w:t xml:space="preserve">1.4 </w:t>
      </w:r>
      <w:r w:rsidR="002B40BA">
        <w:t>Measure Parameters</w:t>
      </w:r>
      <w:bookmarkEnd w:id="48"/>
      <w:bookmarkEnd w:id="49"/>
    </w:p>
    <w:p w14:paraId="61D72FC6" w14:textId="6558F02C" w:rsidR="00706B82" w:rsidRPr="000D06CE" w:rsidRDefault="00706B82" w:rsidP="00C57883">
      <w:pPr>
        <w:tabs>
          <w:tab w:val="left" w:pos="1440"/>
        </w:tabs>
        <w:rPr>
          <w:rFonts w:ascii="Arial" w:hAnsi="Arial"/>
          <w:sz w:val="20"/>
        </w:rPr>
      </w:pPr>
      <w:r>
        <w:rPr>
          <w:rFonts w:ascii="Arial" w:hAnsi="Arial"/>
          <w:sz w:val="20"/>
        </w:rPr>
        <w:t xml:space="preserve">The </w:t>
      </w:r>
      <w:r w:rsidR="002A165B">
        <w:rPr>
          <w:rFonts w:ascii="Arial" w:hAnsi="Arial"/>
          <w:sz w:val="20"/>
        </w:rPr>
        <w:t xml:space="preserve">measure parameters are defined by the linear fluorescent </w:t>
      </w:r>
      <w:r>
        <w:rPr>
          <w:rFonts w:ascii="Arial" w:hAnsi="Arial"/>
          <w:sz w:val="20"/>
        </w:rPr>
        <w:t xml:space="preserve">base </w:t>
      </w:r>
      <w:r w:rsidR="002A165B">
        <w:rPr>
          <w:rFonts w:ascii="Arial" w:hAnsi="Arial"/>
          <w:sz w:val="20"/>
        </w:rPr>
        <w:t xml:space="preserve">case.  </w:t>
      </w:r>
      <w:r w:rsidRPr="002A165B">
        <w:rPr>
          <w:rFonts w:ascii="Arial" w:hAnsi="Arial"/>
          <w:sz w:val="20"/>
        </w:rPr>
        <w:t xml:space="preserve">The </w:t>
      </w:r>
      <w:r w:rsidR="002A165B">
        <w:rPr>
          <w:rFonts w:ascii="Arial" w:hAnsi="Arial"/>
          <w:sz w:val="20"/>
        </w:rPr>
        <w:t xml:space="preserve">linear fluorescent </w:t>
      </w:r>
      <w:r w:rsidRPr="002A165B">
        <w:rPr>
          <w:rFonts w:ascii="Arial" w:hAnsi="Arial"/>
          <w:sz w:val="20"/>
        </w:rPr>
        <w:t>base</w:t>
      </w:r>
      <w:r w:rsidR="002A165B">
        <w:rPr>
          <w:rFonts w:ascii="Arial" w:hAnsi="Arial"/>
          <w:sz w:val="20"/>
        </w:rPr>
        <w:t xml:space="preserve"> cases</w:t>
      </w:r>
      <w:r w:rsidRPr="002A165B">
        <w:rPr>
          <w:rFonts w:ascii="Arial" w:hAnsi="Arial"/>
          <w:sz w:val="20"/>
        </w:rPr>
        <w:t xml:space="preserve"> are chosen by the code equiva</w:t>
      </w:r>
      <w:r>
        <w:rPr>
          <w:rFonts w:ascii="Arial" w:hAnsi="Arial"/>
          <w:sz w:val="20"/>
        </w:rPr>
        <w:t xml:space="preserve">lent of the most common </w:t>
      </w:r>
      <w:r w:rsidR="00ED37BE" w:rsidRPr="002A165B">
        <w:rPr>
          <w:rFonts w:ascii="Arial" w:hAnsi="Arial"/>
          <w:sz w:val="20"/>
        </w:rPr>
        <w:t>high performance T8</w:t>
      </w:r>
      <w:r>
        <w:rPr>
          <w:rFonts w:ascii="Arial" w:hAnsi="Arial"/>
          <w:sz w:val="20"/>
        </w:rPr>
        <w:t xml:space="preserve"> linear fluorescent fixtures.</w:t>
      </w:r>
      <w:r w:rsidR="002A165B">
        <w:rPr>
          <w:rFonts w:ascii="Arial" w:hAnsi="Arial"/>
          <w:sz w:val="20"/>
        </w:rPr>
        <w:t xml:space="preserve">  Therefore, 2, 3, 4, 6, 8, and </w:t>
      </w:r>
      <w:r w:rsidR="002A165B" w:rsidRPr="00727D1F">
        <w:rPr>
          <w:rFonts w:ascii="Arial" w:hAnsi="Arial" w:cs="Arial"/>
          <w:sz w:val="20"/>
          <w:szCs w:val="20"/>
        </w:rPr>
        <w:t xml:space="preserve">10-lamp linear fluorescent fixture arrangements were chosen as </w:t>
      </w:r>
      <w:r w:rsidR="00727D1F" w:rsidRPr="00727D1F">
        <w:rPr>
          <w:rFonts w:ascii="Arial" w:hAnsi="Arial" w:cs="Arial"/>
          <w:sz w:val="20"/>
          <w:szCs w:val="20"/>
        </w:rPr>
        <w:t>part of the</w:t>
      </w:r>
      <w:r w:rsidR="002A165B" w:rsidRPr="00727D1F">
        <w:rPr>
          <w:rFonts w:ascii="Arial" w:hAnsi="Arial" w:cs="Arial"/>
          <w:sz w:val="20"/>
          <w:szCs w:val="20"/>
        </w:rPr>
        <w:t xml:space="preserve"> base case.</w:t>
      </w:r>
      <w:r w:rsidR="00727D1F" w:rsidRPr="00727D1F">
        <w:rPr>
          <w:rFonts w:ascii="Arial" w:hAnsi="Arial" w:cs="Arial"/>
          <w:sz w:val="20"/>
          <w:szCs w:val="20"/>
        </w:rPr>
        <w:t xml:space="preserve">  More information</w:t>
      </w:r>
      <w:r w:rsidR="00727D1F">
        <w:rPr>
          <w:rFonts w:ascii="Arial" w:hAnsi="Arial" w:cs="Arial"/>
          <w:sz w:val="20"/>
          <w:szCs w:val="20"/>
        </w:rPr>
        <w:t xml:space="preserve"> on the base case and measure case</w:t>
      </w:r>
      <w:r w:rsidR="00727D1F" w:rsidRPr="00727D1F">
        <w:rPr>
          <w:rFonts w:ascii="Arial" w:hAnsi="Arial" w:cs="Arial"/>
          <w:sz w:val="20"/>
          <w:szCs w:val="20"/>
        </w:rPr>
        <w:t xml:space="preserve"> is provided in </w:t>
      </w:r>
      <w:r w:rsidR="00727D1F" w:rsidRPr="1AA8F051">
        <w:fldChar w:fldCharType="begin"/>
      </w:r>
      <w:r w:rsidR="00727D1F" w:rsidRPr="00727D1F">
        <w:rPr>
          <w:rFonts w:ascii="Arial" w:hAnsi="Arial" w:cs="Arial"/>
          <w:sz w:val="20"/>
          <w:szCs w:val="20"/>
        </w:rPr>
        <w:instrText xml:space="preserve"> REF _Ref510938094 \h  \* MERGEFORMAT </w:instrText>
      </w:r>
      <w:r w:rsidR="00727D1F" w:rsidRPr="1AA8F051">
        <w:rPr>
          <w:rFonts w:ascii="Arial" w:hAnsi="Arial" w:cs="Arial"/>
          <w:sz w:val="20"/>
          <w:szCs w:val="20"/>
        </w:rPr>
        <w:fldChar w:fldCharType="separate"/>
      </w:r>
      <w:r w:rsidR="00727D1F" w:rsidRPr="00727D1F">
        <w:rPr>
          <w:rFonts w:ascii="Arial" w:hAnsi="Arial" w:cs="Arial"/>
          <w:sz w:val="20"/>
          <w:szCs w:val="20"/>
        </w:rPr>
        <w:t>Section 2 Calculation Methods</w:t>
      </w:r>
      <w:r w:rsidR="00727D1F" w:rsidRPr="1AA8F051">
        <w:fldChar w:fldCharType="end"/>
      </w:r>
      <w:r w:rsidR="00727D1F" w:rsidRPr="00727D1F">
        <w:rPr>
          <w:rFonts w:ascii="Arial" w:hAnsi="Arial" w:cs="Arial"/>
          <w:sz w:val="20"/>
          <w:szCs w:val="20"/>
        </w:rPr>
        <w:t>.</w:t>
      </w:r>
    </w:p>
    <w:p w14:paraId="1750B099" w14:textId="77A9A99A" w:rsidR="00EC568D" w:rsidRPr="00A071AC" w:rsidRDefault="00EC568D" w:rsidP="00EC568D">
      <w:pPr>
        <w:pStyle w:val="Heading3"/>
      </w:pPr>
      <w:bookmarkStart w:id="50" w:name="_Toc511038030"/>
      <w:bookmarkStart w:id="51" w:name="_Toc511244882"/>
      <w:r w:rsidRPr="00A071AC">
        <w:t xml:space="preserve">1.4.1 DEER </w:t>
      </w:r>
      <w:r w:rsidR="002B40BA" w:rsidRPr="00A071AC">
        <w:t>Data</w:t>
      </w:r>
      <w:bookmarkEnd w:id="50"/>
      <w:bookmarkEnd w:id="51"/>
      <w:r w:rsidRPr="00A071AC">
        <w:t xml:space="preserve"> </w:t>
      </w:r>
    </w:p>
    <w:p w14:paraId="0D93A61E" w14:textId="0806B8C8" w:rsidR="00EC568D" w:rsidRPr="00A071AC" w:rsidRDefault="00EC568D" w:rsidP="00EC568D">
      <w:pPr>
        <w:rPr>
          <w:rFonts w:ascii="Arial" w:hAnsi="Arial"/>
          <w:sz w:val="20"/>
        </w:rPr>
      </w:pPr>
      <w:r w:rsidRPr="00A071AC">
        <w:rPr>
          <w:rFonts w:ascii="Arial" w:hAnsi="Arial"/>
          <w:sz w:val="20"/>
        </w:rPr>
        <w:t>Th</w:t>
      </w:r>
      <w:r w:rsidR="00B16195" w:rsidRPr="00A071AC">
        <w:rPr>
          <w:rFonts w:ascii="Arial" w:hAnsi="Arial"/>
          <w:sz w:val="20"/>
        </w:rPr>
        <w:t xml:space="preserve">is </w:t>
      </w:r>
      <w:r w:rsidR="0008441F" w:rsidRPr="00A071AC">
        <w:rPr>
          <w:rFonts w:ascii="Arial" w:hAnsi="Arial"/>
          <w:sz w:val="20"/>
        </w:rPr>
        <w:t xml:space="preserve">revision of the </w:t>
      </w:r>
      <w:r w:rsidR="00727D1F">
        <w:rPr>
          <w:rFonts w:ascii="Arial" w:hAnsi="Arial"/>
          <w:sz w:val="20"/>
        </w:rPr>
        <w:t>work</w:t>
      </w:r>
      <w:r w:rsidR="0008441F" w:rsidRPr="00A071AC">
        <w:rPr>
          <w:rFonts w:ascii="Arial" w:hAnsi="Arial"/>
          <w:sz w:val="20"/>
        </w:rPr>
        <w:t>paper</w:t>
      </w:r>
      <w:r w:rsidR="00B16195" w:rsidRPr="00A071AC">
        <w:rPr>
          <w:rFonts w:ascii="Arial" w:hAnsi="Arial"/>
          <w:sz w:val="20"/>
        </w:rPr>
        <w:t xml:space="preserve"> is an update to the previous revision now found in th</w:t>
      </w:r>
      <w:r w:rsidRPr="00A071AC">
        <w:rPr>
          <w:rFonts w:ascii="Arial" w:hAnsi="Arial"/>
          <w:sz w:val="20"/>
        </w:rPr>
        <w:t>e Database for Energy Efficient Resources (DEER).</w:t>
      </w:r>
    </w:p>
    <w:p w14:paraId="6D1CEB5F" w14:textId="124703EF" w:rsidR="00EC568D" w:rsidRPr="009842A2" w:rsidRDefault="00EC568D" w:rsidP="00EC568D">
      <w:pPr>
        <w:rPr>
          <w:rFonts w:ascii="Arial" w:hAnsi="Arial" w:cs="Arial"/>
          <w:sz w:val="20"/>
          <w:szCs w:val="20"/>
          <w:highlight w:val="yellow"/>
        </w:rPr>
      </w:pPr>
    </w:p>
    <w:p w14:paraId="097E93DA" w14:textId="49C37EBB" w:rsidR="00EC568D" w:rsidRPr="00727D1F" w:rsidRDefault="00EC568D" w:rsidP="00EC568D">
      <w:pPr>
        <w:rPr>
          <w:rFonts w:ascii="Arial" w:hAnsi="Arial"/>
          <w:color w:val="000000" w:themeColor="text1"/>
          <w:sz w:val="20"/>
        </w:rPr>
      </w:pPr>
      <w:r w:rsidRPr="00727D1F">
        <w:rPr>
          <w:rFonts w:ascii="Arial" w:hAnsi="Arial"/>
          <w:color w:val="000000" w:themeColor="text1"/>
          <w:sz w:val="20"/>
        </w:rPr>
        <w:t xml:space="preserve">The </w:t>
      </w:r>
      <w:bookmarkStart w:id="52" w:name="OLE_LINK8"/>
      <w:bookmarkStart w:id="53" w:name="OLE_LINK9"/>
      <w:r w:rsidRPr="00727D1F">
        <w:rPr>
          <w:rFonts w:ascii="Arial" w:hAnsi="Arial"/>
          <w:color w:val="000000" w:themeColor="text1"/>
          <w:sz w:val="20"/>
        </w:rPr>
        <w:t>DOE Solid-State Lighting CALiPER Reports have examined 7 LED high-bay fixtures combined in applica</w:t>
      </w:r>
      <w:r w:rsidR="00AB788B" w:rsidRPr="00727D1F">
        <w:rPr>
          <w:rFonts w:ascii="Arial" w:hAnsi="Arial"/>
          <w:color w:val="000000" w:themeColor="text1"/>
          <w:sz w:val="20"/>
        </w:rPr>
        <w:t>tion summary reports #13</w:t>
      </w:r>
      <w:bookmarkStart w:id="54" w:name="_Ref510988975"/>
      <w:r w:rsidR="00AB788B" w:rsidRPr="00727D1F">
        <w:rPr>
          <w:rStyle w:val="EndnoteReference"/>
          <w:rFonts w:ascii="Arial" w:hAnsi="Arial"/>
          <w:color w:val="000000" w:themeColor="text1"/>
          <w:sz w:val="20"/>
        </w:rPr>
        <w:endnoteReference w:id="6"/>
      </w:r>
      <w:bookmarkEnd w:id="54"/>
      <w:r w:rsidRPr="00727D1F">
        <w:rPr>
          <w:rFonts w:ascii="Arial" w:hAnsi="Arial"/>
          <w:color w:val="000000" w:themeColor="text1"/>
          <w:sz w:val="20"/>
        </w:rPr>
        <w:t>.</w:t>
      </w:r>
      <w:bookmarkEnd w:id="52"/>
      <w:bookmarkEnd w:id="53"/>
      <w:r w:rsidRPr="00727D1F">
        <w:rPr>
          <w:rFonts w:ascii="Arial" w:hAnsi="Arial"/>
          <w:color w:val="000000" w:themeColor="text1"/>
          <w:sz w:val="20"/>
        </w:rPr>
        <w:t xml:space="preserve"> </w:t>
      </w:r>
      <w:r w:rsidR="00D963AA" w:rsidRPr="00727D1F">
        <w:rPr>
          <w:rFonts w:ascii="Arial" w:hAnsi="Arial"/>
          <w:color w:val="000000" w:themeColor="text1"/>
          <w:sz w:val="20"/>
        </w:rPr>
        <w:t>None</w:t>
      </w:r>
      <w:r w:rsidRPr="00727D1F">
        <w:rPr>
          <w:rFonts w:ascii="Arial" w:hAnsi="Arial"/>
          <w:color w:val="000000" w:themeColor="text1"/>
          <w:sz w:val="20"/>
        </w:rPr>
        <w:t xml:space="preserve"> of the 7 fixtures met the DLC minimums for efficacy and output. Given the small population relative to the full DL</w:t>
      </w:r>
      <w:r w:rsidRPr="00727D1F">
        <w:rPr>
          <w:rFonts w:ascii="Arial" w:hAnsi="Arial"/>
          <w:sz w:val="20"/>
        </w:rPr>
        <w:t xml:space="preserve">C </w:t>
      </w:r>
      <w:r w:rsidR="00B04A30" w:rsidRPr="00727D1F">
        <w:rPr>
          <w:rFonts w:ascii="Arial" w:hAnsi="Arial"/>
          <w:sz w:val="20"/>
        </w:rPr>
        <w:t>QPL</w:t>
      </w:r>
      <w:r w:rsidRPr="00727D1F">
        <w:rPr>
          <w:rFonts w:ascii="Arial" w:hAnsi="Arial"/>
          <w:sz w:val="20"/>
        </w:rPr>
        <w:t xml:space="preserve"> of </w:t>
      </w:r>
      <w:r w:rsidR="002E1AD7" w:rsidRPr="00727D1F">
        <w:rPr>
          <w:rFonts w:ascii="Arial" w:hAnsi="Arial"/>
          <w:sz w:val="20"/>
        </w:rPr>
        <w:t>45,536 products as of 8/16</w:t>
      </w:r>
      <w:r w:rsidR="001729B4" w:rsidRPr="00727D1F">
        <w:rPr>
          <w:rFonts w:ascii="Arial" w:hAnsi="Arial"/>
          <w:sz w:val="20"/>
        </w:rPr>
        <w:t>/</w:t>
      </w:r>
      <w:r w:rsidRPr="00727D1F">
        <w:rPr>
          <w:rFonts w:ascii="Arial" w:hAnsi="Arial"/>
          <w:sz w:val="20"/>
        </w:rPr>
        <w:t>201</w:t>
      </w:r>
      <w:r w:rsidR="002E1AD7" w:rsidRPr="00727D1F">
        <w:rPr>
          <w:rFonts w:ascii="Arial" w:hAnsi="Arial"/>
          <w:sz w:val="20"/>
        </w:rPr>
        <w:t>7</w:t>
      </w:r>
      <w:r w:rsidRPr="00727D1F">
        <w:rPr>
          <w:rFonts w:ascii="Arial" w:hAnsi="Arial"/>
          <w:sz w:val="20"/>
        </w:rPr>
        <w:t>, CALiPER reports were not use</w:t>
      </w:r>
      <w:r w:rsidR="00B40854" w:rsidRPr="00727D1F">
        <w:rPr>
          <w:rFonts w:ascii="Arial" w:hAnsi="Arial"/>
          <w:sz w:val="20"/>
        </w:rPr>
        <w:t xml:space="preserve">d for determining equivalency. </w:t>
      </w:r>
      <w:r w:rsidRPr="00727D1F">
        <w:rPr>
          <w:rFonts w:ascii="Arial" w:hAnsi="Arial"/>
          <w:sz w:val="20"/>
        </w:rPr>
        <w:t>Wattage equivale</w:t>
      </w:r>
      <w:r w:rsidRPr="00727D1F">
        <w:rPr>
          <w:rFonts w:ascii="Arial" w:hAnsi="Arial"/>
          <w:color w:val="000000" w:themeColor="text1"/>
          <w:sz w:val="20"/>
        </w:rPr>
        <w:t>ncy was based on the full list of DLC products.</w:t>
      </w:r>
    </w:p>
    <w:p w14:paraId="60998789" w14:textId="35CC59CF" w:rsidR="0008441F" w:rsidRPr="00A071AC" w:rsidRDefault="0008441F" w:rsidP="00EC568D">
      <w:pPr>
        <w:rPr>
          <w:rFonts w:ascii="Arial" w:hAnsi="Arial"/>
          <w:sz w:val="20"/>
        </w:rPr>
      </w:pPr>
    </w:p>
    <w:p w14:paraId="1117D093" w14:textId="795D711D" w:rsidR="00FD6117" w:rsidRPr="00A071AC" w:rsidRDefault="00FD6117" w:rsidP="002B40BA">
      <w:pPr>
        <w:pStyle w:val="Caption"/>
        <w:keepNext/>
        <w:jc w:val="center"/>
      </w:pPr>
      <w:bookmarkStart w:id="55" w:name="_Toc511038009"/>
      <w:bookmarkStart w:id="56" w:name="_Toc511244270"/>
      <w:bookmarkStart w:id="57" w:name="_Toc511244295"/>
      <w:bookmarkStart w:id="58" w:name="_Toc511244914"/>
      <w:r w:rsidRPr="00A071AC">
        <w:t xml:space="preserve">Table </w:t>
      </w:r>
      <w:r w:rsidR="00C426D4">
        <w:fldChar w:fldCharType="begin"/>
      </w:r>
      <w:r w:rsidR="00C426D4">
        <w:instrText xml:space="preserve"> SEQ Table \* ARABIC </w:instrText>
      </w:r>
      <w:r w:rsidR="00C426D4">
        <w:fldChar w:fldCharType="separate"/>
      </w:r>
      <w:r w:rsidR="00E94C25">
        <w:rPr>
          <w:noProof/>
        </w:rPr>
        <w:t>5</w:t>
      </w:r>
      <w:r w:rsidR="00C426D4">
        <w:rPr>
          <w:noProof/>
        </w:rPr>
        <w:fldChar w:fldCharType="end"/>
      </w:r>
      <w:r w:rsidRPr="00A071AC">
        <w:t xml:space="preserve"> – DEER Difference Summary</w:t>
      </w:r>
      <w:bookmarkEnd w:id="55"/>
      <w:bookmarkEnd w:id="56"/>
      <w:bookmarkEnd w:id="57"/>
      <w:bookmarkEnd w:id="58"/>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FD6117" w:rsidRPr="009842A2" w14:paraId="0200358E" w14:textId="77777777" w:rsidTr="00727D1F">
        <w:trPr>
          <w:trHeight w:val="20"/>
        </w:trPr>
        <w:tc>
          <w:tcPr>
            <w:tcW w:w="1548" w:type="pct"/>
            <w:shd w:val="clear" w:color="auto" w:fill="D9D9D9" w:themeFill="background1" w:themeFillShade="D9"/>
          </w:tcPr>
          <w:p w14:paraId="4E09E658" w14:textId="77777777" w:rsidR="00FD6117" w:rsidRPr="00734DF2" w:rsidRDefault="00FD6117" w:rsidP="00A43F43">
            <w:pPr>
              <w:tabs>
                <w:tab w:val="right" w:pos="2957"/>
              </w:tabs>
              <w:rPr>
                <w:rFonts w:ascii="Arial" w:hAnsi="Arial"/>
                <w:b/>
                <w:sz w:val="20"/>
              </w:rPr>
            </w:pPr>
            <w:r w:rsidRPr="00734DF2">
              <w:rPr>
                <w:rFonts w:ascii="Arial" w:hAnsi="Arial"/>
                <w:b/>
                <w:sz w:val="20"/>
              </w:rPr>
              <w:t>DEER Item</w:t>
            </w:r>
          </w:p>
        </w:tc>
        <w:tc>
          <w:tcPr>
            <w:tcW w:w="3452" w:type="pct"/>
            <w:shd w:val="clear" w:color="auto" w:fill="D9D9D9" w:themeFill="background1" w:themeFillShade="D9"/>
          </w:tcPr>
          <w:p w14:paraId="6CD6A837" w14:textId="77777777" w:rsidR="00FD6117" w:rsidRPr="00734DF2" w:rsidRDefault="00FD6117" w:rsidP="00A43F43">
            <w:pPr>
              <w:rPr>
                <w:rFonts w:ascii="Arial" w:hAnsi="Arial"/>
                <w:b/>
                <w:sz w:val="20"/>
              </w:rPr>
            </w:pPr>
            <w:r w:rsidRPr="00734DF2">
              <w:rPr>
                <w:rFonts w:ascii="Arial" w:hAnsi="Arial"/>
                <w:b/>
                <w:sz w:val="20"/>
              </w:rPr>
              <w:t>Used for Workpaper?</w:t>
            </w:r>
          </w:p>
        </w:tc>
      </w:tr>
      <w:tr w:rsidR="00FD6117" w:rsidRPr="009842A2" w14:paraId="35D94666" w14:textId="77777777" w:rsidTr="00734DF2">
        <w:trPr>
          <w:trHeight w:val="20"/>
        </w:trPr>
        <w:tc>
          <w:tcPr>
            <w:tcW w:w="1548" w:type="pct"/>
            <w:shd w:val="clear" w:color="auto" w:fill="auto"/>
          </w:tcPr>
          <w:p w14:paraId="5D132788" w14:textId="77777777" w:rsidR="00FD6117" w:rsidRPr="00734DF2" w:rsidRDefault="00FD6117" w:rsidP="00A43F43">
            <w:pPr>
              <w:rPr>
                <w:rFonts w:ascii="Arial" w:hAnsi="Arial"/>
                <w:sz w:val="20"/>
              </w:rPr>
            </w:pPr>
            <w:r w:rsidRPr="00734DF2">
              <w:rPr>
                <w:rFonts w:ascii="Arial" w:hAnsi="Arial"/>
                <w:sz w:val="20"/>
              </w:rPr>
              <w:t>Modified DEER methodology</w:t>
            </w:r>
          </w:p>
        </w:tc>
        <w:tc>
          <w:tcPr>
            <w:tcW w:w="3452" w:type="pct"/>
            <w:shd w:val="clear" w:color="auto" w:fill="auto"/>
          </w:tcPr>
          <w:p w14:paraId="42E066EC" w14:textId="2959A111" w:rsidR="00FD6117" w:rsidRPr="00734DF2" w:rsidRDefault="00FD6117" w:rsidP="00A43F43">
            <w:pPr>
              <w:rPr>
                <w:rFonts w:ascii="Arial" w:hAnsi="Arial"/>
                <w:b/>
                <w:color w:val="FF0000"/>
                <w:sz w:val="20"/>
              </w:rPr>
            </w:pPr>
            <w:r w:rsidRPr="00734DF2">
              <w:rPr>
                <w:rFonts w:ascii="Arial" w:hAnsi="Arial"/>
                <w:sz w:val="20"/>
              </w:rPr>
              <w:t>Yes</w:t>
            </w:r>
          </w:p>
        </w:tc>
      </w:tr>
      <w:tr w:rsidR="00FD6117" w:rsidRPr="009842A2" w14:paraId="0236E1B5" w14:textId="77777777" w:rsidTr="00734DF2">
        <w:trPr>
          <w:trHeight w:val="20"/>
        </w:trPr>
        <w:tc>
          <w:tcPr>
            <w:tcW w:w="1548" w:type="pct"/>
            <w:shd w:val="clear" w:color="auto" w:fill="auto"/>
          </w:tcPr>
          <w:p w14:paraId="6B6E88A6" w14:textId="77777777" w:rsidR="00FD6117" w:rsidRPr="00734DF2" w:rsidRDefault="00FD6117" w:rsidP="00A43F43">
            <w:pPr>
              <w:rPr>
                <w:rFonts w:ascii="Arial" w:hAnsi="Arial"/>
                <w:sz w:val="20"/>
              </w:rPr>
            </w:pPr>
            <w:r w:rsidRPr="00734DF2">
              <w:rPr>
                <w:rFonts w:ascii="Arial" w:hAnsi="Arial"/>
                <w:sz w:val="20"/>
              </w:rPr>
              <w:t>Scaled DEER measure</w:t>
            </w:r>
          </w:p>
        </w:tc>
        <w:tc>
          <w:tcPr>
            <w:tcW w:w="3452" w:type="pct"/>
            <w:shd w:val="clear" w:color="auto" w:fill="auto"/>
          </w:tcPr>
          <w:p w14:paraId="0A7D4118" w14:textId="418C5201" w:rsidR="00FD6117" w:rsidRPr="00E20468" w:rsidRDefault="00FD6117" w:rsidP="00A43F43">
            <w:pPr>
              <w:rPr>
                <w:rFonts w:ascii="Arial" w:hAnsi="Arial"/>
                <w:sz w:val="20"/>
              </w:rPr>
            </w:pPr>
            <w:r w:rsidRPr="00E20468">
              <w:rPr>
                <w:rFonts w:ascii="Arial" w:hAnsi="Arial"/>
                <w:sz w:val="20"/>
              </w:rPr>
              <w:t>No</w:t>
            </w:r>
          </w:p>
        </w:tc>
      </w:tr>
      <w:tr w:rsidR="00FD6117" w:rsidRPr="009842A2" w14:paraId="09D59C4F" w14:textId="77777777" w:rsidTr="00734DF2">
        <w:trPr>
          <w:trHeight w:val="20"/>
        </w:trPr>
        <w:tc>
          <w:tcPr>
            <w:tcW w:w="1548" w:type="pct"/>
            <w:shd w:val="clear" w:color="auto" w:fill="auto"/>
          </w:tcPr>
          <w:p w14:paraId="0E7D81C6" w14:textId="77777777" w:rsidR="00FD6117" w:rsidRPr="00734DF2" w:rsidRDefault="00FD6117" w:rsidP="00A43F43">
            <w:pPr>
              <w:rPr>
                <w:rFonts w:ascii="Arial" w:hAnsi="Arial"/>
                <w:sz w:val="20"/>
              </w:rPr>
            </w:pPr>
            <w:r w:rsidRPr="00734DF2">
              <w:rPr>
                <w:rFonts w:ascii="Arial" w:hAnsi="Arial"/>
                <w:sz w:val="20"/>
              </w:rPr>
              <w:t>DEER Base Case</w:t>
            </w:r>
          </w:p>
        </w:tc>
        <w:tc>
          <w:tcPr>
            <w:tcW w:w="3452" w:type="pct"/>
            <w:shd w:val="clear" w:color="auto" w:fill="auto"/>
          </w:tcPr>
          <w:p w14:paraId="7FE83210" w14:textId="7FCFB694" w:rsidR="00FD6117" w:rsidRPr="00E20468" w:rsidRDefault="00FD6117" w:rsidP="00A43F43">
            <w:pPr>
              <w:rPr>
                <w:rFonts w:ascii="Arial" w:hAnsi="Arial"/>
                <w:sz w:val="20"/>
              </w:rPr>
            </w:pPr>
            <w:r w:rsidRPr="00E20468">
              <w:rPr>
                <w:rFonts w:ascii="Arial" w:hAnsi="Arial"/>
                <w:sz w:val="20"/>
              </w:rPr>
              <w:t>No</w:t>
            </w:r>
          </w:p>
        </w:tc>
      </w:tr>
      <w:tr w:rsidR="00FD6117" w:rsidRPr="009842A2" w14:paraId="4E51F6D2" w14:textId="77777777" w:rsidTr="00734DF2">
        <w:trPr>
          <w:trHeight w:val="20"/>
        </w:trPr>
        <w:tc>
          <w:tcPr>
            <w:tcW w:w="1548" w:type="pct"/>
            <w:shd w:val="clear" w:color="auto" w:fill="auto"/>
          </w:tcPr>
          <w:p w14:paraId="62DA25FD" w14:textId="77777777" w:rsidR="00FD6117" w:rsidRPr="00734DF2" w:rsidRDefault="00FD6117" w:rsidP="00A43F43">
            <w:pPr>
              <w:rPr>
                <w:rFonts w:ascii="Arial" w:hAnsi="Arial"/>
                <w:sz w:val="20"/>
              </w:rPr>
            </w:pPr>
            <w:r w:rsidRPr="00734DF2">
              <w:rPr>
                <w:rFonts w:ascii="Arial" w:hAnsi="Arial"/>
                <w:sz w:val="20"/>
              </w:rPr>
              <w:t>DEER Measure Case</w:t>
            </w:r>
          </w:p>
        </w:tc>
        <w:tc>
          <w:tcPr>
            <w:tcW w:w="3452" w:type="pct"/>
            <w:shd w:val="clear" w:color="auto" w:fill="auto"/>
          </w:tcPr>
          <w:p w14:paraId="65F049F4" w14:textId="5964FF9F" w:rsidR="00FD6117" w:rsidRPr="00E20468" w:rsidRDefault="00E20468" w:rsidP="00A43F43">
            <w:pPr>
              <w:rPr>
                <w:rFonts w:ascii="Arial" w:hAnsi="Arial"/>
                <w:sz w:val="20"/>
              </w:rPr>
            </w:pPr>
            <w:r w:rsidRPr="00E20468">
              <w:rPr>
                <w:rFonts w:ascii="Arial" w:hAnsi="Arial" w:cs="Arial"/>
                <w:sz w:val="20"/>
                <w:szCs w:val="20"/>
              </w:rPr>
              <w:t>No</w:t>
            </w:r>
          </w:p>
        </w:tc>
      </w:tr>
      <w:tr w:rsidR="00FD6117" w:rsidRPr="009842A2" w14:paraId="4A76B4E0" w14:textId="77777777" w:rsidTr="00734DF2">
        <w:trPr>
          <w:trHeight w:val="20"/>
        </w:trPr>
        <w:tc>
          <w:tcPr>
            <w:tcW w:w="1548" w:type="pct"/>
            <w:shd w:val="clear" w:color="auto" w:fill="auto"/>
          </w:tcPr>
          <w:p w14:paraId="3976C6AF" w14:textId="77777777" w:rsidR="00FD6117" w:rsidRPr="00734DF2" w:rsidRDefault="00FD6117" w:rsidP="00A43F43">
            <w:pPr>
              <w:rPr>
                <w:rFonts w:ascii="Arial" w:hAnsi="Arial"/>
                <w:sz w:val="20"/>
              </w:rPr>
            </w:pPr>
            <w:r w:rsidRPr="00734DF2">
              <w:rPr>
                <w:rFonts w:ascii="Arial" w:hAnsi="Arial"/>
                <w:sz w:val="20"/>
              </w:rPr>
              <w:t>DEER Building Types</w:t>
            </w:r>
          </w:p>
        </w:tc>
        <w:tc>
          <w:tcPr>
            <w:tcW w:w="3452" w:type="pct"/>
            <w:shd w:val="clear" w:color="auto" w:fill="auto"/>
          </w:tcPr>
          <w:p w14:paraId="1CB0ECBC" w14:textId="37735A17" w:rsidR="00FD6117" w:rsidRPr="00734DF2" w:rsidRDefault="00FD6117" w:rsidP="00A43F43">
            <w:pPr>
              <w:rPr>
                <w:rFonts w:ascii="Arial" w:hAnsi="Arial"/>
                <w:sz w:val="20"/>
              </w:rPr>
            </w:pPr>
            <w:r w:rsidRPr="00734DF2">
              <w:rPr>
                <w:rFonts w:ascii="Arial" w:hAnsi="Arial"/>
                <w:sz w:val="20"/>
              </w:rPr>
              <w:t>Yes</w:t>
            </w:r>
          </w:p>
        </w:tc>
      </w:tr>
      <w:tr w:rsidR="00FD6117" w:rsidRPr="009842A2" w14:paraId="713FEA64" w14:textId="77777777" w:rsidTr="00734DF2">
        <w:trPr>
          <w:trHeight w:val="20"/>
        </w:trPr>
        <w:tc>
          <w:tcPr>
            <w:tcW w:w="1548" w:type="pct"/>
            <w:shd w:val="clear" w:color="auto" w:fill="auto"/>
          </w:tcPr>
          <w:p w14:paraId="4705C147" w14:textId="77777777" w:rsidR="00FD6117" w:rsidRPr="00734DF2" w:rsidRDefault="00FD6117" w:rsidP="00A43F43">
            <w:pPr>
              <w:rPr>
                <w:rFonts w:ascii="Arial" w:hAnsi="Arial"/>
                <w:sz w:val="20"/>
              </w:rPr>
            </w:pPr>
            <w:r w:rsidRPr="00734DF2">
              <w:rPr>
                <w:rFonts w:ascii="Arial" w:hAnsi="Arial"/>
                <w:sz w:val="20"/>
              </w:rPr>
              <w:t>DEER Operating Hours</w:t>
            </w:r>
          </w:p>
        </w:tc>
        <w:tc>
          <w:tcPr>
            <w:tcW w:w="3452" w:type="pct"/>
            <w:shd w:val="clear" w:color="auto" w:fill="auto"/>
          </w:tcPr>
          <w:p w14:paraId="42D49AB5" w14:textId="04D0D185" w:rsidR="00FD6117" w:rsidRPr="00734DF2" w:rsidRDefault="00FD6117" w:rsidP="00A43F43">
            <w:pPr>
              <w:rPr>
                <w:rFonts w:ascii="Arial" w:hAnsi="Arial"/>
                <w:sz w:val="20"/>
              </w:rPr>
            </w:pPr>
            <w:r w:rsidRPr="00734DF2">
              <w:rPr>
                <w:rFonts w:ascii="Arial" w:hAnsi="Arial"/>
                <w:sz w:val="20"/>
              </w:rPr>
              <w:t>Yes</w:t>
            </w:r>
          </w:p>
        </w:tc>
      </w:tr>
      <w:tr w:rsidR="00FD6117" w:rsidRPr="009842A2" w14:paraId="16045212" w14:textId="77777777" w:rsidTr="00734DF2">
        <w:trPr>
          <w:trHeight w:val="20"/>
        </w:trPr>
        <w:tc>
          <w:tcPr>
            <w:tcW w:w="1548" w:type="pct"/>
            <w:shd w:val="clear" w:color="auto" w:fill="auto"/>
          </w:tcPr>
          <w:p w14:paraId="3C0FF9F6" w14:textId="77777777" w:rsidR="00FD6117" w:rsidRPr="00734DF2" w:rsidRDefault="00FD6117" w:rsidP="00A43F43">
            <w:pPr>
              <w:rPr>
                <w:rFonts w:ascii="Arial" w:hAnsi="Arial"/>
                <w:sz w:val="20"/>
              </w:rPr>
            </w:pPr>
            <w:r w:rsidRPr="00734DF2">
              <w:rPr>
                <w:rFonts w:ascii="Arial" w:hAnsi="Arial"/>
                <w:sz w:val="20"/>
              </w:rPr>
              <w:t>DEER eQUEST Prototypes</w:t>
            </w:r>
          </w:p>
        </w:tc>
        <w:tc>
          <w:tcPr>
            <w:tcW w:w="3452" w:type="pct"/>
            <w:shd w:val="clear" w:color="auto" w:fill="auto"/>
          </w:tcPr>
          <w:p w14:paraId="4BF5211E" w14:textId="25294529" w:rsidR="00FD6117" w:rsidRPr="00734DF2" w:rsidDel="00505CEC" w:rsidRDefault="00FD6117" w:rsidP="00A43F43">
            <w:pPr>
              <w:rPr>
                <w:rFonts w:ascii="Arial" w:hAnsi="Arial"/>
                <w:sz w:val="20"/>
              </w:rPr>
            </w:pPr>
            <w:r w:rsidRPr="00734DF2">
              <w:rPr>
                <w:rFonts w:ascii="Arial" w:hAnsi="Arial" w:cs="Arial"/>
                <w:sz w:val="20"/>
                <w:szCs w:val="20"/>
              </w:rPr>
              <w:t>No</w:t>
            </w:r>
          </w:p>
        </w:tc>
      </w:tr>
      <w:tr w:rsidR="00FD6117" w:rsidRPr="009842A2" w14:paraId="0C6A365C" w14:textId="77777777" w:rsidTr="00734DF2">
        <w:trPr>
          <w:trHeight w:val="20"/>
        </w:trPr>
        <w:tc>
          <w:tcPr>
            <w:tcW w:w="1548" w:type="pct"/>
            <w:shd w:val="clear" w:color="auto" w:fill="auto"/>
          </w:tcPr>
          <w:p w14:paraId="3ECD2BAB" w14:textId="77777777" w:rsidR="00FD6117" w:rsidRPr="00734DF2" w:rsidRDefault="00FD6117" w:rsidP="00A43F43">
            <w:pPr>
              <w:rPr>
                <w:rFonts w:ascii="Arial" w:hAnsi="Arial"/>
                <w:sz w:val="20"/>
              </w:rPr>
            </w:pPr>
            <w:r w:rsidRPr="00734DF2">
              <w:rPr>
                <w:rFonts w:ascii="Arial" w:hAnsi="Arial"/>
                <w:sz w:val="20"/>
              </w:rPr>
              <w:t>DEER Version</w:t>
            </w:r>
          </w:p>
        </w:tc>
        <w:tc>
          <w:tcPr>
            <w:tcW w:w="3452" w:type="pct"/>
            <w:shd w:val="clear" w:color="auto" w:fill="auto"/>
          </w:tcPr>
          <w:p w14:paraId="601122A0" w14:textId="1EBCB3B5" w:rsidR="00FD6117" w:rsidRPr="00734DF2" w:rsidRDefault="00FD6117" w:rsidP="00A43F43">
            <w:pPr>
              <w:rPr>
                <w:rFonts w:ascii="Arial" w:hAnsi="Arial"/>
                <w:sz w:val="20"/>
              </w:rPr>
            </w:pPr>
            <w:r w:rsidRPr="00734DF2">
              <w:rPr>
                <w:rFonts w:ascii="Arial" w:hAnsi="Arial" w:cs="Arial"/>
                <w:sz w:val="20"/>
                <w:szCs w:val="20"/>
              </w:rPr>
              <w:t>DEER 201</w:t>
            </w:r>
            <w:r w:rsidR="00734DF2" w:rsidRPr="00734DF2">
              <w:rPr>
                <w:rFonts w:ascii="Arial" w:hAnsi="Arial" w:cs="Arial"/>
                <w:sz w:val="20"/>
                <w:szCs w:val="20"/>
              </w:rPr>
              <w:t>6</w:t>
            </w:r>
          </w:p>
        </w:tc>
      </w:tr>
      <w:tr w:rsidR="00FD6117" w:rsidRPr="009842A2" w14:paraId="70213022" w14:textId="77777777" w:rsidTr="00734DF2">
        <w:trPr>
          <w:trHeight w:val="20"/>
        </w:trPr>
        <w:tc>
          <w:tcPr>
            <w:tcW w:w="1548" w:type="pct"/>
            <w:shd w:val="clear" w:color="auto" w:fill="auto"/>
          </w:tcPr>
          <w:p w14:paraId="61B41FEB" w14:textId="77777777" w:rsidR="00FD6117" w:rsidRPr="00734DF2" w:rsidRDefault="00FD6117" w:rsidP="00A43F43">
            <w:pPr>
              <w:rPr>
                <w:rFonts w:ascii="Arial" w:hAnsi="Arial"/>
                <w:sz w:val="20"/>
              </w:rPr>
            </w:pPr>
            <w:r w:rsidRPr="00734DF2">
              <w:rPr>
                <w:rFonts w:ascii="Arial" w:hAnsi="Arial"/>
                <w:sz w:val="20"/>
              </w:rPr>
              <w:t>Reason for Deviation from DEER</w:t>
            </w:r>
          </w:p>
        </w:tc>
        <w:tc>
          <w:tcPr>
            <w:tcW w:w="3452" w:type="pct"/>
            <w:shd w:val="clear" w:color="auto" w:fill="auto"/>
          </w:tcPr>
          <w:p w14:paraId="56395290" w14:textId="778ED3D6" w:rsidR="00FD6117" w:rsidRPr="00E20468" w:rsidRDefault="00E20468" w:rsidP="00A43F43">
            <w:pPr>
              <w:rPr>
                <w:rFonts w:ascii="Arial" w:hAnsi="Arial"/>
                <w:sz w:val="20"/>
              </w:rPr>
            </w:pPr>
            <w:r w:rsidRPr="00E20468">
              <w:rPr>
                <w:rFonts w:ascii="Arial" w:hAnsi="Arial" w:cs="Arial"/>
                <w:sz w:val="20"/>
                <w:szCs w:val="20"/>
              </w:rPr>
              <w:t>DEER does not contain these exact wattage ranges for the measure; DEER does not contain the percentage mix and efficacies for the base case.</w:t>
            </w:r>
          </w:p>
        </w:tc>
      </w:tr>
      <w:tr w:rsidR="00FD6117" w:rsidRPr="009842A2" w14:paraId="35F4268A" w14:textId="77777777" w:rsidTr="00734DF2">
        <w:trPr>
          <w:trHeight w:val="70"/>
        </w:trPr>
        <w:tc>
          <w:tcPr>
            <w:tcW w:w="1548" w:type="pct"/>
            <w:shd w:val="clear" w:color="auto" w:fill="auto"/>
          </w:tcPr>
          <w:p w14:paraId="44406FAE" w14:textId="77777777" w:rsidR="00FD6117" w:rsidRPr="00734DF2" w:rsidRDefault="00FD6117" w:rsidP="00A43F43">
            <w:pPr>
              <w:rPr>
                <w:rFonts w:ascii="Arial" w:hAnsi="Arial"/>
                <w:sz w:val="20"/>
              </w:rPr>
            </w:pPr>
            <w:r w:rsidRPr="00734DF2">
              <w:rPr>
                <w:rFonts w:ascii="Arial" w:hAnsi="Arial"/>
                <w:sz w:val="20"/>
              </w:rPr>
              <w:t>DEER Measure IDs Used</w:t>
            </w:r>
          </w:p>
        </w:tc>
        <w:tc>
          <w:tcPr>
            <w:tcW w:w="3452" w:type="pct"/>
            <w:shd w:val="clear" w:color="auto" w:fill="auto"/>
          </w:tcPr>
          <w:p w14:paraId="77092C44" w14:textId="34E6BFCA" w:rsidR="00FD6117" w:rsidRPr="00E20468" w:rsidRDefault="00E20468" w:rsidP="00A43F43">
            <w:pPr>
              <w:rPr>
                <w:rFonts w:ascii="Arial" w:hAnsi="Arial"/>
                <w:sz w:val="20"/>
              </w:rPr>
            </w:pPr>
            <w:r w:rsidRPr="00E20468">
              <w:rPr>
                <w:rFonts w:ascii="Arial" w:hAnsi="Arial" w:cs="Arial"/>
                <w:sz w:val="20"/>
                <w:szCs w:val="20"/>
              </w:rPr>
              <w:t>N/A</w:t>
            </w:r>
          </w:p>
        </w:tc>
      </w:tr>
    </w:tbl>
    <w:p w14:paraId="7B9E28DF" w14:textId="0033BAE0" w:rsidR="00FD6117" w:rsidRPr="009842A2" w:rsidRDefault="00FD6117" w:rsidP="00EC568D">
      <w:pPr>
        <w:rPr>
          <w:rFonts w:ascii="Arial" w:hAnsi="Arial" w:cs="Arial"/>
          <w:sz w:val="20"/>
          <w:szCs w:val="20"/>
          <w:highlight w:val="yellow"/>
        </w:rPr>
      </w:pPr>
    </w:p>
    <w:p w14:paraId="4A9EBEFC" w14:textId="628B0C0C" w:rsidR="00EC568D" w:rsidRPr="008D4644" w:rsidRDefault="00EC568D" w:rsidP="00EC568D">
      <w:r w:rsidRPr="008D4644">
        <w:rPr>
          <w:rFonts w:ascii="Arial" w:hAnsi="Arial"/>
          <w:b/>
          <w:sz w:val="20"/>
        </w:rPr>
        <w:t>Net-to-Gross</w:t>
      </w:r>
      <w:r w:rsidR="00FD6117" w:rsidRPr="008D4644">
        <w:rPr>
          <w:rFonts w:ascii="Arial" w:hAnsi="Arial"/>
          <w:b/>
          <w:sz w:val="20"/>
        </w:rPr>
        <w:t xml:space="preserve"> Ratio</w:t>
      </w:r>
      <w:r w:rsidRPr="008D4644">
        <w:rPr>
          <w:rFonts w:ascii="Arial" w:hAnsi="Arial"/>
          <w:b/>
          <w:sz w:val="20"/>
        </w:rPr>
        <w:t xml:space="preserve"> </w:t>
      </w:r>
    </w:p>
    <w:p w14:paraId="4711A2B6" w14:textId="0B4090D6" w:rsidR="00EC568D" w:rsidRPr="008D4644" w:rsidRDefault="00EC568D" w:rsidP="00EC568D">
      <w:pPr>
        <w:rPr>
          <w:rFonts w:ascii="Arial" w:hAnsi="Arial"/>
          <w:sz w:val="20"/>
        </w:rPr>
      </w:pPr>
      <w:r w:rsidRPr="008D4644">
        <w:rPr>
          <w:rFonts w:ascii="Arial" w:hAnsi="Arial"/>
          <w:sz w:val="20"/>
        </w:rPr>
        <w:t xml:space="preserve">The NTG values are from DEER </w:t>
      </w:r>
      <w:r w:rsidRPr="008D4644">
        <w:rPr>
          <w:rFonts w:ascii="Arial" w:hAnsi="Arial" w:cs="Arial"/>
          <w:sz w:val="20"/>
          <w:szCs w:val="20"/>
        </w:rPr>
        <w:t>201</w:t>
      </w:r>
      <w:r w:rsidR="008D4644">
        <w:rPr>
          <w:rFonts w:ascii="Arial" w:hAnsi="Arial" w:cs="Arial"/>
          <w:sz w:val="20"/>
          <w:szCs w:val="20"/>
        </w:rPr>
        <w:t>4</w:t>
      </w:r>
      <w:r w:rsidRPr="008D4644">
        <w:rPr>
          <w:rFonts w:ascii="Arial" w:hAnsi="Arial" w:cs="Arial"/>
          <w:sz w:val="20"/>
          <w:szCs w:val="20"/>
        </w:rPr>
        <w:t>.</w:t>
      </w:r>
      <w:r w:rsidRPr="008D4644">
        <w:rPr>
          <w:rFonts w:ascii="Arial" w:hAnsi="Arial"/>
          <w:sz w:val="20"/>
        </w:rPr>
        <w:t xml:space="preserve"> The table below summarizes all applicable Net-to-Gross ratios for programs t</w:t>
      </w:r>
      <w:r>
        <w:rPr>
          <w:rFonts w:ascii="Arial" w:hAnsi="Arial"/>
          <w:sz w:val="20"/>
        </w:rPr>
        <w:t>hat may be used by this measure</w:t>
      </w:r>
      <w:r w:rsidR="008D4644">
        <w:rPr>
          <w:rFonts w:ascii="Arial" w:hAnsi="Arial" w:cs="Arial"/>
          <w:sz w:val="20"/>
          <w:szCs w:val="20"/>
        </w:rPr>
        <w:t>:</w:t>
      </w:r>
    </w:p>
    <w:p w14:paraId="0A9BFFCE" w14:textId="77777777" w:rsidR="00EC568D" w:rsidRPr="008D4644" w:rsidRDefault="00EC568D" w:rsidP="00EC568D">
      <w:pPr>
        <w:pStyle w:val="Caption"/>
        <w:keepNext/>
        <w:jc w:val="center"/>
        <w:rPr>
          <w:rFonts w:ascii="Arial" w:hAnsi="Arial"/>
        </w:rPr>
      </w:pPr>
    </w:p>
    <w:p w14:paraId="1DB13397" w14:textId="2921BF18" w:rsidR="00EC568D" w:rsidRPr="008D4644" w:rsidRDefault="00EC568D" w:rsidP="002B40BA">
      <w:pPr>
        <w:pStyle w:val="Caption"/>
        <w:jc w:val="center"/>
        <w:rPr>
          <w:rFonts w:ascii="Arial" w:hAnsi="Arial"/>
        </w:rPr>
      </w:pPr>
      <w:bookmarkStart w:id="59" w:name="_Toc511038010"/>
      <w:bookmarkStart w:id="60" w:name="_Toc511244271"/>
      <w:bookmarkStart w:id="61" w:name="_Toc511244296"/>
      <w:bookmarkStart w:id="62" w:name="_Toc511244915"/>
      <w:r w:rsidRPr="008D4644">
        <w:t xml:space="preserve">Table </w:t>
      </w:r>
      <w:r w:rsidR="00C426D4">
        <w:fldChar w:fldCharType="begin"/>
      </w:r>
      <w:r w:rsidR="00C426D4">
        <w:instrText xml:space="preserve"> SEQ Table \* ARABIC \s 1 </w:instrText>
      </w:r>
      <w:r w:rsidR="00C426D4">
        <w:fldChar w:fldCharType="separate"/>
      </w:r>
      <w:r w:rsidR="00E94C25">
        <w:rPr>
          <w:noProof/>
        </w:rPr>
        <w:t>6</w:t>
      </w:r>
      <w:r w:rsidR="00C426D4">
        <w:rPr>
          <w:noProof/>
        </w:rPr>
        <w:fldChar w:fldCharType="end"/>
      </w:r>
      <w:r w:rsidRPr="008D4644">
        <w:t xml:space="preserve"> - Net-to-Gross Ratios</w:t>
      </w:r>
      <w:bookmarkEnd w:id="59"/>
      <w:bookmarkEnd w:id="60"/>
      <w:bookmarkEnd w:id="61"/>
      <w:bookmarkEnd w:id="62"/>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EC568D" w:rsidRPr="009842A2" w14:paraId="3284B3BD" w14:textId="77777777" w:rsidTr="005E1ACB">
        <w:tc>
          <w:tcPr>
            <w:tcW w:w="808" w:type="pct"/>
            <w:shd w:val="clear" w:color="auto" w:fill="D9D9D9" w:themeFill="background1" w:themeFillShade="D9"/>
            <w:vAlign w:val="center"/>
          </w:tcPr>
          <w:p w14:paraId="3214F2B6" w14:textId="77777777" w:rsidR="00EC568D" w:rsidRPr="008D4644" w:rsidRDefault="00EC568D" w:rsidP="005E1ACB">
            <w:pPr>
              <w:jc w:val="center"/>
              <w:rPr>
                <w:rFonts w:ascii="Arial" w:hAnsi="Arial"/>
                <w:b/>
                <w:sz w:val="20"/>
              </w:rPr>
            </w:pPr>
            <w:r w:rsidRPr="008D4644">
              <w:rPr>
                <w:rFonts w:ascii="Arial" w:hAnsi="Arial"/>
                <w:b/>
                <w:sz w:val="20"/>
              </w:rPr>
              <w:t>NTGR ID</w:t>
            </w:r>
          </w:p>
        </w:tc>
        <w:tc>
          <w:tcPr>
            <w:tcW w:w="1880" w:type="pct"/>
            <w:shd w:val="clear" w:color="auto" w:fill="D9D9D9" w:themeFill="background1" w:themeFillShade="D9"/>
            <w:vAlign w:val="center"/>
          </w:tcPr>
          <w:p w14:paraId="68AFF533" w14:textId="77777777" w:rsidR="00EC568D" w:rsidRPr="008D4644" w:rsidRDefault="00EC568D" w:rsidP="005E1ACB">
            <w:pPr>
              <w:jc w:val="center"/>
              <w:rPr>
                <w:rFonts w:ascii="Arial" w:hAnsi="Arial"/>
                <w:b/>
                <w:sz w:val="20"/>
              </w:rPr>
            </w:pPr>
            <w:r w:rsidRPr="008D4644">
              <w:rPr>
                <w:rFonts w:ascii="Arial" w:hAnsi="Arial"/>
                <w:b/>
                <w:sz w:val="20"/>
              </w:rPr>
              <w:t>Description</w:t>
            </w:r>
          </w:p>
        </w:tc>
        <w:tc>
          <w:tcPr>
            <w:tcW w:w="517" w:type="pct"/>
            <w:shd w:val="clear" w:color="auto" w:fill="D9D9D9" w:themeFill="background1" w:themeFillShade="D9"/>
            <w:vAlign w:val="center"/>
          </w:tcPr>
          <w:p w14:paraId="415E9180" w14:textId="77777777" w:rsidR="00EC568D" w:rsidRPr="008D4644" w:rsidRDefault="00EC568D" w:rsidP="005E1ACB">
            <w:pPr>
              <w:jc w:val="center"/>
              <w:rPr>
                <w:rFonts w:ascii="Arial" w:hAnsi="Arial"/>
                <w:b/>
                <w:sz w:val="20"/>
              </w:rPr>
            </w:pPr>
            <w:r w:rsidRPr="008D4644">
              <w:rPr>
                <w:rFonts w:ascii="Arial" w:hAnsi="Arial"/>
                <w:b/>
                <w:sz w:val="20"/>
              </w:rPr>
              <w:t>Sector</w:t>
            </w:r>
          </w:p>
        </w:tc>
        <w:tc>
          <w:tcPr>
            <w:tcW w:w="611" w:type="pct"/>
            <w:shd w:val="clear" w:color="auto" w:fill="D9D9D9" w:themeFill="background1" w:themeFillShade="D9"/>
            <w:vAlign w:val="center"/>
          </w:tcPr>
          <w:p w14:paraId="6400AB86" w14:textId="77777777" w:rsidR="00EC568D" w:rsidRPr="008D4644" w:rsidRDefault="00EC568D" w:rsidP="005E1ACB">
            <w:pPr>
              <w:jc w:val="center"/>
              <w:rPr>
                <w:rFonts w:ascii="Arial" w:hAnsi="Arial"/>
                <w:b/>
                <w:sz w:val="20"/>
              </w:rPr>
            </w:pPr>
            <w:r w:rsidRPr="008D4644">
              <w:rPr>
                <w:rFonts w:ascii="Arial" w:hAnsi="Arial"/>
                <w:b/>
                <w:sz w:val="20"/>
              </w:rPr>
              <w:t>BldgType</w:t>
            </w:r>
          </w:p>
        </w:tc>
        <w:tc>
          <w:tcPr>
            <w:tcW w:w="752" w:type="pct"/>
            <w:shd w:val="clear" w:color="auto" w:fill="D9D9D9" w:themeFill="background1" w:themeFillShade="D9"/>
            <w:vAlign w:val="center"/>
          </w:tcPr>
          <w:p w14:paraId="08C10D39" w14:textId="77777777" w:rsidR="00EC568D" w:rsidRPr="008D4644" w:rsidRDefault="00EC568D" w:rsidP="005E1ACB">
            <w:pPr>
              <w:jc w:val="center"/>
              <w:rPr>
                <w:rFonts w:ascii="Arial" w:hAnsi="Arial"/>
                <w:b/>
                <w:sz w:val="20"/>
              </w:rPr>
            </w:pPr>
            <w:r w:rsidRPr="008D4644">
              <w:rPr>
                <w:rFonts w:ascii="Arial" w:hAnsi="Arial"/>
                <w:b/>
                <w:sz w:val="20"/>
              </w:rPr>
              <w:t>Delivery Method</w:t>
            </w:r>
          </w:p>
        </w:tc>
        <w:tc>
          <w:tcPr>
            <w:tcW w:w="432" w:type="pct"/>
            <w:shd w:val="clear" w:color="auto" w:fill="D9D9D9" w:themeFill="background1" w:themeFillShade="D9"/>
            <w:vAlign w:val="center"/>
          </w:tcPr>
          <w:p w14:paraId="7124F981" w14:textId="77777777" w:rsidR="00EC568D" w:rsidRPr="008D4644" w:rsidRDefault="00EC568D" w:rsidP="005E1ACB">
            <w:pPr>
              <w:jc w:val="center"/>
              <w:rPr>
                <w:rFonts w:ascii="Arial" w:hAnsi="Arial"/>
                <w:b/>
                <w:sz w:val="20"/>
              </w:rPr>
            </w:pPr>
            <w:r w:rsidRPr="008D4644">
              <w:rPr>
                <w:rFonts w:ascii="Arial" w:hAnsi="Arial"/>
                <w:b/>
                <w:sz w:val="20"/>
              </w:rPr>
              <w:t>NTGR</w:t>
            </w:r>
          </w:p>
        </w:tc>
      </w:tr>
      <w:tr w:rsidR="00EC568D" w:rsidRPr="009842A2" w14:paraId="57937D34" w14:textId="77777777" w:rsidTr="005E1ACB">
        <w:tc>
          <w:tcPr>
            <w:tcW w:w="808" w:type="pct"/>
            <w:vAlign w:val="center"/>
          </w:tcPr>
          <w:p w14:paraId="27F02677" w14:textId="77777777" w:rsidR="00EC568D" w:rsidRPr="008D4644" w:rsidRDefault="00EC568D" w:rsidP="005E1ACB">
            <w:pPr>
              <w:jc w:val="center"/>
              <w:rPr>
                <w:rFonts w:ascii="Arial" w:hAnsi="Arial"/>
                <w:sz w:val="20"/>
              </w:rPr>
            </w:pPr>
            <w:r w:rsidRPr="008D4644">
              <w:rPr>
                <w:rFonts w:ascii="Arial" w:hAnsi="Arial"/>
                <w:sz w:val="20"/>
              </w:rPr>
              <w:t>Com-Default&gt;2yrs</w:t>
            </w:r>
          </w:p>
        </w:tc>
        <w:tc>
          <w:tcPr>
            <w:tcW w:w="1880" w:type="pct"/>
            <w:vAlign w:val="center"/>
          </w:tcPr>
          <w:p w14:paraId="43005DAD" w14:textId="77777777" w:rsidR="00EC568D" w:rsidRPr="008D4644" w:rsidRDefault="00EC568D" w:rsidP="005E1ACB">
            <w:pPr>
              <w:jc w:val="center"/>
              <w:rPr>
                <w:rFonts w:ascii="Arial" w:hAnsi="Arial"/>
                <w:sz w:val="20"/>
              </w:rPr>
            </w:pPr>
            <w:r w:rsidRPr="008D4644">
              <w:rPr>
                <w:rFonts w:ascii="Arial" w:hAnsi="Arial"/>
                <w:sz w:val="20"/>
              </w:rPr>
              <w:t>All other EEMs with no evaluated NTGR; existing EEM in programs with same delivery mechanism for more than 2 years</w:t>
            </w:r>
          </w:p>
        </w:tc>
        <w:tc>
          <w:tcPr>
            <w:tcW w:w="517" w:type="pct"/>
            <w:vAlign w:val="center"/>
          </w:tcPr>
          <w:p w14:paraId="00168367" w14:textId="77777777" w:rsidR="00EC568D" w:rsidRPr="008D4644" w:rsidRDefault="00EC568D" w:rsidP="005E1ACB">
            <w:pPr>
              <w:jc w:val="center"/>
              <w:rPr>
                <w:rFonts w:ascii="Arial" w:hAnsi="Arial"/>
                <w:sz w:val="20"/>
              </w:rPr>
            </w:pPr>
            <w:r w:rsidRPr="008D4644">
              <w:rPr>
                <w:rFonts w:ascii="Arial" w:hAnsi="Arial"/>
                <w:sz w:val="20"/>
              </w:rPr>
              <w:t>Com</w:t>
            </w:r>
          </w:p>
        </w:tc>
        <w:tc>
          <w:tcPr>
            <w:tcW w:w="611" w:type="pct"/>
            <w:vAlign w:val="center"/>
          </w:tcPr>
          <w:p w14:paraId="7ABBB9D1" w14:textId="77777777" w:rsidR="00EC568D" w:rsidRPr="008D4644" w:rsidRDefault="00EC568D" w:rsidP="005E1ACB">
            <w:pPr>
              <w:jc w:val="center"/>
              <w:rPr>
                <w:rFonts w:ascii="Arial" w:hAnsi="Arial"/>
                <w:sz w:val="20"/>
              </w:rPr>
            </w:pPr>
            <w:r w:rsidRPr="008D4644">
              <w:rPr>
                <w:rFonts w:ascii="Arial" w:hAnsi="Arial"/>
                <w:sz w:val="20"/>
              </w:rPr>
              <w:t>Any</w:t>
            </w:r>
          </w:p>
        </w:tc>
        <w:tc>
          <w:tcPr>
            <w:tcW w:w="752" w:type="pct"/>
            <w:vAlign w:val="center"/>
          </w:tcPr>
          <w:p w14:paraId="0ED477FF" w14:textId="77777777" w:rsidR="00EC568D" w:rsidRPr="008D4644" w:rsidRDefault="00EC568D" w:rsidP="005E1ACB">
            <w:pPr>
              <w:jc w:val="center"/>
              <w:rPr>
                <w:rFonts w:ascii="Arial" w:hAnsi="Arial"/>
                <w:sz w:val="20"/>
              </w:rPr>
            </w:pPr>
            <w:r w:rsidRPr="008D4644">
              <w:rPr>
                <w:rFonts w:ascii="Arial" w:hAnsi="Arial"/>
                <w:sz w:val="20"/>
              </w:rPr>
              <w:t>Any</w:t>
            </w:r>
          </w:p>
        </w:tc>
        <w:tc>
          <w:tcPr>
            <w:tcW w:w="432" w:type="pct"/>
            <w:vAlign w:val="center"/>
          </w:tcPr>
          <w:p w14:paraId="080C3680" w14:textId="77777777" w:rsidR="00EC568D" w:rsidRPr="008D4644" w:rsidRDefault="00EC568D" w:rsidP="005E1ACB">
            <w:pPr>
              <w:jc w:val="center"/>
              <w:rPr>
                <w:rFonts w:ascii="Arial" w:hAnsi="Arial"/>
                <w:sz w:val="20"/>
              </w:rPr>
            </w:pPr>
            <w:r w:rsidRPr="008D4644">
              <w:rPr>
                <w:rFonts w:ascii="Arial" w:hAnsi="Arial"/>
                <w:sz w:val="20"/>
              </w:rPr>
              <w:t>0.6</w:t>
            </w:r>
          </w:p>
        </w:tc>
      </w:tr>
    </w:tbl>
    <w:p w14:paraId="50371047" w14:textId="77777777" w:rsidR="00EC568D" w:rsidRPr="009842A2" w:rsidRDefault="00EC568D" w:rsidP="00EC568D">
      <w:pPr>
        <w:rPr>
          <w:b/>
          <w:szCs w:val="20"/>
          <w:highlight w:val="yellow"/>
        </w:rPr>
      </w:pPr>
    </w:p>
    <w:p w14:paraId="2BD18C87" w14:textId="5C84D634" w:rsidR="008D4644" w:rsidRPr="008D4644" w:rsidRDefault="008D4644" w:rsidP="00EC568D">
      <w:pPr>
        <w:rPr>
          <w:rFonts w:ascii="Arial" w:hAnsi="Arial" w:cs="Arial"/>
          <w:sz w:val="20"/>
          <w:szCs w:val="20"/>
        </w:rPr>
      </w:pPr>
      <w:r w:rsidRPr="008D4644">
        <w:rPr>
          <w:rFonts w:ascii="Arial" w:hAnsi="Arial" w:cs="Arial"/>
          <w:sz w:val="20"/>
          <w:szCs w:val="20"/>
        </w:rPr>
        <w:t xml:space="preserve">Per discussion </w:t>
      </w:r>
      <w:r>
        <w:rPr>
          <w:rFonts w:ascii="Arial" w:hAnsi="Arial" w:cs="Arial"/>
          <w:sz w:val="20"/>
          <w:szCs w:val="20"/>
        </w:rPr>
        <w:t>with Commission Staff (CS) on April 5, 2018, the NTG value is expected to increase closer to 0.91 with the introduction of LED fixtures into the baseline.  Since updated NTG values and IDs are not yet available, PG&amp;E has been directed to use the current NTG value unt</w:t>
      </w:r>
      <w:r w:rsidR="00EA5B61">
        <w:rPr>
          <w:rFonts w:ascii="Arial" w:hAnsi="Arial" w:cs="Arial"/>
          <w:sz w:val="20"/>
          <w:szCs w:val="20"/>
        </w:rPr>
        <w:t>il CS issues a finalized update. After CS issues a final update, PG&amp;E will resubmit workpaper with new NTG IDs.</w:t>
      </w:r>
    </w:p>
    <w:p w14:paraId="022E7D26" w14:textId="77777777" w:rsidR="008D4644" w:rsidRDefault="008D4644" w:rsidP="00EC568D">
      <w:pPr>
        <w:rPr>
          <w:rFonts w:ascii="Arial" w:hAnsi="Arial" w:cs="Arial"/>
          <w:b/>
          <w:sz w:val="20"/>
          <w:szCs w:val="20"/>
          <w:highlight w:val="yellow"/>
        </w:rPr>
      </w:pPr>
    </w:p>
    <w:p w14:paraId="6B784C35" w14:textId="2650BB4F" w:rsidR="00EC568D" w:rsidRPr="008D4644" w:rsidRDefault="00EC568D" w:rsidP="00EC568D">
      <w:pPr>
        <w:rPr>
          <w:rFonts w:ascii="Arial" w:hAnsi="Arial"/>
          <w:b/>
          <w:sz w:val="20"/>
        </w:rPr>
      </w:pPr>
      <w:r w:rsidRPr="008D4644">
        <w:rPr>
          <w:rFonts w:ascii="Arial" w:hAnsi="Arial"/>
          <w:b/>
          <w:sz w:val="20"/>
        </w:rPr>
        <w:t>Spillage Rate</w:t>
      </w:r>
    </w:p>
    <w:p w14:paraId="011073FC" w14:textId="77777777" w:rsidR="00EC568D" w:rsidRPr="008D4644" w:rsidRDefault="00EC568D" w:rsidP="00EC568D">
      <w:pPr>
        <w:rPr>
          <w:rFonts w:ascii="Arial" w:hAnsi="Arial"/>
          <w:sz w:val="20"/>
        </w:rPr>
      </w:pPr>
      <w:r w:rsidRPr="008D4644">
        <w:rPr>
          <w:rFonts w:ascii="Arial" w:hAnsi="Arial"/>
          <w:sz w:val="20"/>
        </w:rPr>
        <w:t>Spillage rates are not tracked in work papers; they are tracked in an external document which will be supplied to the Commission Staff.</w:t>
      </w:r>
    </w:p>
    <w:p w14:paraId="6F3E3F38" w14:textId="77777777" w:rsidR="00EC568D" w:rsidRPr="008D4644" w:rsidRDefault="00EC568D" w:rsidP="00EC568D">
      <w:pPr>
        <w:rPr>
          <w:rFonts w:ascii="Arial" w:hAnsi="Arial"/>
          <w:b/>
          <w:sz w:val="20"/>
        </w:rPr>
      </w:pPr>
    </w:p>
    <w:p w14:paraId="420C3BC9" w14:textId="52CADD8E" w:rsidR="00EC568D" w:rsidRPr="008D4644" w:rsidRDefault="00EC568D" w:rsidP="00EC568D">
      <w:pPr>
        <w:rPr>
          <w:rFonts w:ascii="Arial" w:hAnsi="Arial"/>
          <w:b/>
          <w:sz w:val="20"/>
        </w:rPr>
      </w:pPr>
      <w:r w:rsidRPr="008D4644">
        <w:rPr>
          <w:rFonts w:ascii="Arial" w:hAnsi="Arial"/>
          <w:b/>
          <w:sz w:val="20"/>
        </w:rPr>
        <w:t>Installation Rate</w:t>
      </w:r>
    </w:p>
    <w:p w14:paraId="7B2CD429" w14:textId="61CD7288" w:rsidR="000B6B1A" w:rsidRPr="000B6B1A" w:rsidRDefault="00EC568D" w:rsidP="00EC568D">
      <w:pPr>
        <w:rPr>
          <w:rFonts w:ascii="Arial" w:hAnsi="Arial"/>
          <w:sz w:val="20"/>
        </w:rPr>
      </w:pPr>
      <w:r w:rsidRPr="008D4644">
        <w:rPr>
          <w:rFonts w:ascii="Arial" w:hAnsi="Arial"/>
          <w:sz w:val="20"/>
        </w:rPr>
        <w:t xml:space="preserve">The IR value was obtained using the DEER READI tool. The relevant IR value for these measures in </w:t>
      </w:r>
      <w:r w:rsidR="736173E6" w:rsidRPr="736173E6">
        <w:rPr>
          <w:rFonts w:ascii="Arial" w:hAnsi="Arial"/>
          <w:sz w:val="20"/>
          <w:szCs w:val="20"/>
        </w:rPr>
        <w:t>this</w:t>
      </w:r>
      <w:r w:rsidRPr="008D4644">
        <w:rPr>
          <w:rFonts w:ascii="Arial" w:hAnsi="Arial"/>
          <w:sz w:val="20"/>
        </w:rPr>
        <w:t xml:space="preserve"> work paper is in the table below.</w:t>
      </w:r>
    </w:p>
    <w:p w14:paraId="404AD10C" w14:textId="77777777" w:rsidR="00EC568D" w:rsidRPr="008D4644" w:rsidRDefault="00EC568D" w:rsidP="00EC568D">
      <w:pPr>
        <w:rPr>
          <w:rFonts w:ascii="Arial" w:hAnsi="Arial"/>
          <w:sz w:val="16"/>
        </w:rPr>
      </w:pPr>
    </w:p>
    <w:p w14:paraId="114284AA" w14:textId="6BD3284B" w:rsidR="00EC568D" w:rsidRPr="008D4644" w:rsidRDefault="00EC568D" w:rsidP="00EC568D">
      <w:pPr>
        <w:pStyle w:val="Caption"/>
        <w:keepNext/>
        <w:jc w:val="center"/>
      </w:pPr>
      <w:bookmarkStart w:id="63" w:name="_Toc438530567"/>
      <w:bookmarkStart w:id="64" w:name="_Toc511038011"/>
      <w:bookmarkStart w:id="65" w:name="_Toc511244272"/>
      <w:bookmarkStart w:id="66" w:name="_Toc511244297"/>
      <w:bookmarkStart w:id="67" w:name="_Toc511244916"/>
      <w:r w:rsidRPr="008D4644">
        <w:t xml:space="preserve">Table </w:t>
      </w:r>
      <w:r w:rsidR="00C426D4">
        <w:fldChar w:fldCharType="begin"/>
      </w:r>
      <w:r w:rsidR="00C426D4">
        <w:instrText xml:space="preserve"> SEQ Table \* ARABIC </w:instrText>
      </w:r>
      <w:r w:rsidR="00C426D4">
        <w:fldChar w:fldCharType="separate"/>
      </w:r>
      <w:r w:rsidR="00E94C25">
        <w:rPr>
          <w:noProof/>
        </w:rPr>
        <w:t>7</w:t>
      </w:r>
      <w:r w:rsidR="00C426D4">
        <w:rPr>
          <w:noProof/>
        </w:rPr>
        <w:fldChar w:fldCharType="end"/>
      </w:r>
      <w:r w:rsidRPr="008D4644">
        <w:t xml:space="preserve"> - Installation Rates</w:t>
      </w:r>
      <w:bookmarkEnd w:id="63"/>
      <w:bookmarkEnd w:id="64"/>
      <w:bookmarkEnd w:id="65"/>
      <w:bookmarkEnd w:id="66"/>
      <w:bookmarkEnd w:id="67"/>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EC568D" w:rsidRPr="009842A2" w14:paraId="3271F282" w14:textId="77777777" w:rsidTr="005E1ACB">
        <w:tc>
          <w:tcPr>
            <w:tcW w:w="716" w:type="pct"/>
            <w:shd w:val="clear" w:color="auto" w:fill="D9D9D9" w:themeFill="background1" w:themeFillShade="D9"/>
            <w:vAlign w:val="center"/>
          </w:tcPr>
          <w:p w14:paraId="3FE8364A" w14:textId="77777777" w:rsidR="00EC568D" w:rsidRPr="008D4644" w:rsidRDefault="00EC568D" w:rsidP="005E1ACB">
            <w:pPr>
              <w:jc w:val="center"/>
              <w:rPr>
                <w:rFonts w:ascii="Arial" w:hAnsi="Arial"/>
                <w:b/>
                <w:sz w:val="20"/>
              </w:rPr>
            </w:pPr>
            <w:r w:rsidRPr="008D4644">
              <w:rPr>
                <w:rFonts w:ascii="Arial" w:hAnsi="Arial"/>
                <w:b/>
                <w:sz w:val="20"/>
              </w:rPr>
              <w:t>GSIA ID</w:t>
            </w:r>
          </w:p>
        </w:tc>
        <w:tc>
          <w:tcPr>
            <w:tcW w:w="1398" w:type="pct"/>
            <w:shd w:val="clear" w:color="auto" w:fill="D9D9D9" w:themeFill="background1" w:themeFillShade="D9"/>
            <w:vAlign w:val="center"/>
          </w:tcPr>
          <w:p w14:paraId="4A778821" w14:textId="77777777" w:rsidR="00EC568D" w:rsidRPr="008D4644" w:rsidRDefault="00EC568D" w:rsidP="005E1ACB">
            <w:pPr>
              <w:jc w:val="center"/>
              <w:rPr>
                <w:rFonts w:ascii="Arial" w:hAnsi="Arial"/>
                <w:b/>
                <w:sz w:val="20"/>
              </w:rPr>
            </w:pPr>
            <w:r w:rsidRPr="008D4644">
              <w:rPr>
                <w:rFonts w:ascii="Arial" w:hAnsi="Arial"/>
                <w:b/>
                <w:sz w:val="20"/>
              </w:rPr>
              <w:t>Description</w:t>
            </w:r>
          </w:p>
        </w:tc>
        <w:tc>
          <w:tcPr>
            <w:tcW w:w="682" w:type="pct"/>
            <w:shd w:val="clear" w:color="auto" w:fill="D9D9D9" w:themeFill="background1" w:themeFillShade="D9"/>
            <w:vAlign w:val="center"/>
          </w:tcPr>
          <w:p w14:paraId="66AE2C42" w14:textId="77777777" w:rsidR="00EC568D" w:rsidRPr="008D4644" w:rsidRDefault="00EC568D" w:rsidP="005E1ACB">
            <w:pPr>
              <w:jc w:val="center"/>
              <w:rPr>
                <w:rFonts w:ascii="Arial" w:hAnsi="Arial"/>
                <w:b/>
                <w:sz w:val="20"/>
              </w:rPr>
            </w:pPr>
            <w:r w:rsidRPr="008D4644">
              <w:rPr>
                <w:rFonts w:ascii="Arial" w:hAnsi="Arial"/>
                <w:b/>
                <w:sz w:val="20"/>
              </w:rPr>
              <w:t>Sector</w:t>
            </w:r>
          </w:p>
        </w:tc>
        <w:tc>
          <w:tcPr>
            <w:tcW w:w="852" w:type="pct"/>
            <w:shd w:val="clear" w:color="auto" w:fill="D9D9D9" w:themeFill="background1" w:themeFillShade="D9"/>
            <w:vAlign w:val="center"/>
          </w:tcPr>
          <w:p w14:paraId="42E4CAC0" w14:textId="77777777" w:rsidR="00EC568D" w:rsidRPr="008D4644" w:rsidRDefault="00EC568D" w:rsidP="005E1ACB">
            <w:pPr>
              <w:jc w:val="center"/>
              <w:rPr>
                <w:rFonts w:ascii="Arial" w:hAnsi="Arial"/>
                <w:b/>
                <w:sz w:val="20"/>
              </w:rPr>
            </w:pPr>
            <w:r w:rsidRPr="008D4644">
              <w:rPr>
                <w:rFonts w:ascii="Arial" w:hAnsi="Arial"/>
                <w:b/>
                <w:sz w:val="20"/>
              </w:rPr>
              <w:t>BldgType</w:t>
            </w:r>
          </w:p>
        </w:tc>
        <w:tc>
          <w:tcPr>
            <w:tcW w:w="705" w:type="pct"/>
            <w:shd w:val="clear" w:color="auto" w:fill="D9D9D9" w:themeFill="background1" w:themeFillShade="D9"/>
            <w:vAlign w:val="center"/>
          </w:tcPr>
          <w:p w14:paraId="5E42FB5E" w14:textId="77777777" w:rsidR="00EC568D" w:rsidRPr="008D4644" w:rsidRDefault="00EC568D" w:rsidP="005E1ACB">
            <w:pPr>
              <w:jc w:val="center"/>
              <w:rPr>
                <w:rFonts w:ascii="Arial" w:hAnsi="Arial"/>
                <w:b/>
                <w:sz w:val="20"/>
              </w:rPr>
            </w:pPr>
            <w:r w:rsidRPr="008D4644">
              <w:rPr>
                <w:rFonts w:ascii="Arial" w:hAnsi="Arial"/>
                <w:b/>
                <w:sz w:val="20"/>
              </w:rPr>
              <w:t>ProgDelivID</w:t>
            </w:r>
          </w:p>
        </w:tc>
        <w:tc>
          <w:tcPr>
            <w:tcW w:w="647" w:type="pct"/>
            <w:shd w:val="clear" w:color="auto" w:fill="D9D9D9" w:themeFill="background1" w:themeFillShade="D9"/>
            <w:vAlign w:val="center"/>
          </w:tcPr>
          <w:p w14:paraId="4AB23A43" w14:textId="77777777" w:rsidR="00EC568D" w:rsidRPr="008D4644" w:rsidRDefault="00EC568D" w:rsidP="005E1ACB">
            <w:pPr>
              <w:jc w:val="center"/>
              <w:rPr>
                <w:rFonts w:ascii="Arial" w:hAnsi="Arial"/>
                <w:b/>
                <w:sz w:val="20"/>
              </w:rPr>
            </w:pPr>
            <w:r w:rsidRPr="008D4644">
              <w:rPr>
                <w:rFonts w:ascii="Arial" w:hAnsi="Arial"/>
                <w:b/>
                <w:sz w:val="20"/>
              </w:rPr>
              <w:t>GSIAValue</w:t>
            </w:r>
          </w:p>
        </w:tc>
      </w:tr>
      <w:tr w:rsidR="00EC568D" w:rsidRPr="009842A2" w14:paraId="3F4177F3" w14:textId="77777777" w:rsidTr="005E1ACB">
        <w:tc>
          <w:tcPr>
            <w:tcW w:w="716" w:type="pct"/>
            <w:shd w:val="clear" w:color="auto" w:fill="auto"/>
            <w:vAlign w:val="center"/>
          </w:tcPr>
          <w:p w14:paraId="58713AB8" w14:textId="77777777" w:rsidR="00EC568D" w:rsidRPr="008D4644" w:rsidRDefault="00EC568D" w:rsidP="005E1ACB">
            <w:pPr>
              <w:jc w:val="center"/>
              <w:rPr>
                <w:rFonts w:ascii="Arial" w:hAnsi="Arial"/>
                <w:sz w:val="20"/>
              </w:rPr>
            </w:pPr>
            <w:r w:rsidRPr="008D4644">
              <w:rPr>
                <w:rFonts w:ascii="Arial" w:hAnsi="Arial"/>
                <w:sz w:val="20"/>
              </w:rPr>
              <w:t>Com-HiBay-PGE</w:t>
            </w:r>
          </w:p>
        </w:tc>
        <w:tc>
          <w:tcPr>
            <w:tcW w:w="1398" w:type="pct"/>
            <w:shd w:val="clear" w:color="auto" w:fill="auto"/>
            <w:vAlign w:val="center"/>
          </w:tcPr>
          <w:p w14:paraId="0AE6885A" w14:textId="77777777" w:rsidR="00EC568D" w:rsidRPr="008D4644" w:rsidRDefault="00EC568D" w:rsidP="005E1ACB">
            <w:pPr>
              <w:jc w:val="center"/>
              <w:rPr>
                <w:rFonts w:ascii="Arial" w:hAnsi="Arial"/>
                <w:sz w:val="20"/>
              </w:rPr>
            </w:pPr>
            <w:r w:rsidRPr="008D4644">
              <w:rPr>
                <w:rFonts w:ascii="Arial" w:hAnsi="Arial"/>
                <w:sz w:val="20"/>
              </w:rPr>
              <w:t>Non-Res High-Bay; Annual Installation Rate</w:t>
            </w:r>
          </w:p>
        </w:tc>
        <w:tc>
          <w:tcPr>
            <w:tcW w:w="682" w:type="pct"/>
            <w:shd w:val="clear" w:color="auto" w:fill="auto"/>
            <w:vAlign w:val="center"/>
          </w:tcPr>
          <w:p w14:paraId="4909A090" w14:textId="77777777" w:rsidR="00EC568D" w:rsidRPr="008D4644" w:rsidRDefault="00EC568D" w:rsidP="005E1ACB">
            <w:pPr>
              <w:jc w:val="center"/>
              <w:rPr>
                <w:rFonts w:ascii="Arial" w:hAnsi="Arial"/>
                <w:sz w:val="20"/>
              </w:rPr>
            </w:pPr>
            <w:r w:rsidRPr="008D4644">
              <w:rPr>
                <w:rFonts w:ascii="Arial" w:hAnsi="Arial"/>
                <w:sz w:val="20"/>
              </w:rPr>
              <w:t>Com</w:t>
            </w:r>
          </w:p>
        </w:tc>
        <w:tc>
          <w:tcPr>
            <w:tcW w:w="852" w:type="pct"/>
            <w:shd w:val="clear" w:color="auto" w:fill="auto"/>
            <w:vAlign w:val="center"/>
          </w:tcPr>
          <w:p w14:paraId="1161932D" w14:textId="77777777" w:rsidR="00EC568D" w:rsidRPr="008D4644" w:rsidRDefault="00EC568D" w:rsidP="005E1ACB">
            <w:pPr>
              <w:jc w:val="center"/>
              <w:rPr>
                <w:rFonts w:ascii="Arial" w:hAnsi="Arial"/>
                <w:sz w:val="20"/>
              </w:rPr>
            </w:pPr>
            <w:r w:rsidRPr="008D4644">
              <w:rPr>
                <w:rFonts w:ascii="Arial" w:hAnsi="Arial"/>
                <w:sz w:val="20"/>
              </w:rPr>
              <w:t>Any</w:t>
            </w:r>
          </w:p>
        </w:tc>
        <w:tc>
          <w:tcPr>
            <w:tcW w:w="705" w:type="pct"/>
            <w:shd w:val="clear" w:color="auto" w:fill="auto"/>
            <w:vAlign w:val="center"/>
          </w:tcPr>
          <w:p w14:paraId="6757D72C" w14:textId="77777777" w:rsidR="00EC568D" w:rsidRPr="008D4644" w:rsidRDefault="00EC568D" w:rsidP="005E1ACB">
            <w:pPr>
              <w:jc w:val="center"/>
              <w:rPr>
                <w:rFonts w:ascii="Arial" w:hAnsi="Arial"/>
                <w:sz w:val="20"/>
              </w:rPr>
            </w:pPr>
            <w:r w:rsidRPr="008D4644">
              <w:rPr>
                <w:rFonts w:ascii="Arial" w:hAnsi="Arial"/>
                <w:sz w:val="20"/>
              </w:rPr>
              <w:t>NonUpStrm</w:t>
            </w:r>
          </w:p>
        </w:tc>
        <w:tc>
          <w:tcPr>
            <w:tcW w:w="647" w:type="pct"/>
            <w:shd w:val="clear" w:color="auto" w:fill="auto"/>
            <w:vAlign w:val="center"/>
          </w:tcPr>
          <w:p w14:paraId="2FE6AB2C" w14:textId="77777777" w:rsidR="00EC568D" w:rsidRPr="008D4644" w:rsidRDefault="00EC568D" w:rsidP="005E1ACB">
            <w:pPr>
              <w:jc w:val="center"/>
              <w:rPr>
                <w:rFonts w:ascii="Arial" w:hAnsi="Arial"/>
                <w:sz w:val="20"/>
              </w:rPr>
            </w:pPr>
            <w:r w:rsidRPr="008D4644">
              <w:rPr>
                <w:rFonts w:ascii="Arial" w:hAnsi="Arial"/>
                <w:sz w:val="20"/>
              </w:rPr>
              <w:t>0.92</w:t>
            </w:r>
          </w:p>
        </w:tc>
      </w:tr>
    </w:tbl>
    <w:p w14:paraId="5DD0B69D" w14:textId="59AE2C3E" w:rsidR="00FD6117" w:rsidRPr="008D4644" w:rsidRDefault="00FD6117" w:rsidP="00EC568D">
      <w:pPr>
        <w:ind w:left="720"/>
        <w:rPr>
          <w:rFonts w:ascii="Arial" w:hAnsi="Arial"/>
          <w:sz w:val="20"/>
        </w:rPr>
      </w:pPr>
    </w:p>
    <w:p w14:paraId="094A9D7B" w14:textId="77777777" w:rsidR="000B6B1A" w:rsidRDefault="000B6B1A" w:rsidP="00FD6117">
      <w:pPr>
        <w:rPr>
          <w:rFonts w:ascii="Arial" w:hAnsi="Arial"/>
          <w:b/>
          <w:sz w:val="20"/>
        </w:rPr>
        <w:sectPr w:rsidR="000B6B1A" w:rsidSect="000B6B1A">
          <w:endnotePr>
            <w:numFmt w:val="decimal"/>
          </w:endnotePr>
          <w:type w:val="continuous"/>
          <w:pgSz w:w="12240" w:h="15840"/>
          <w:pgMar w:top="1440" w:right="1440" w:bottom="1440" w:left="1440" w:header="720" w:footer="720" w:gutter="0"/>
          <w:pgNumType w:start="1" w:chapStyle="1"/>
          <w:cols w:space="720"/>
          <w:docGrid w:linePitch="360"/>
        </w:sectPr>
      </w:pPr>
    </w:p>
    <w:p w14:paraId="630B9FC3" w14:textId="57C05A07" w:rsidR="00FD6117" w:rsidRPr="003B01FE" w:rsidRDefault="00FD6117" w:rsidP="00FD6117">
      <w:pPr>
        <w:rPr>
          <w:rFonts w:ascii="Arial" w:hAnsi="Arial"/>
          <w:b/>
          <w:sz w:val="20"/>
        </w:rPr>
      </w:pPr>
      <w:r w:rsidRPr="003B01FE">
        <w:rPr>
          <w:rFonts w:ascii="Arial" w:hAnsi="Arial"/>
          <w:b/>
          <w:sz w:val="20"/>
        </w:rPr>
        <w:t>Hours of Operation</w:t>
      </w:r>
    </w:p>
    <w:p w14:paraId="7851D2E4" w14:textId="23A8C89B" w:rsidR="00FD6117" w:rsidRPr="003B01FE" w:rsidRDefault="00FD6117" w:rsidP="00FD6117">
      <w:pPr>
        <w:tabs>
          <w:tab w:val="left" w:pos="6435"/>
        </w:tabs>
        <w:rPr>
          <w:rFonts w:ascii="Arial" w:hAnsi="Arial"/>
          <w:sz w:val="20"/>
        </w:rPr>
      </w:pPr>
      <w:r w:rsidRPr="003B01FE">
        <w:rPr>
          <w:rFonts w:ascii="Arial" w:hAnsi="Arial"/>
          <w:sz w:val="20"/>
        </w:rPr>
        <w:t xml:space="preserve">The DEER 2016 hours of operation and interactive effects are used </w:t>
      </w:r>
      <w:r w:rsidR="00E20468">
        <w:rPr>
          <w:rFonts w:ascii="Arial" w:hAnsi="Arial"/>
          <w:sz w:val="20"/>
        </w:rPr>
        <w:t>in</w:t>
      </w:r>
      <w:r w:rsidRPr="003B01FE">
        <w:rPr>
          <w:rFonts w:ascii="Arial" w:hAnsi="Arial"/>
          <w:sz w:val="20"/>
        </w:rPr>
        <w:t xml:space="preserve"> </w:t>
      </w:r>
      <w:r w:rsidR="00E20468">
        <w:rPr>
          <w:rFonts w:ascii="Arial" w:hAnsi="Arial"/>
          <w:sz w:val="20"/>
        </w:rPr>
        <w:t>the</w:t>
      </w:r>
      <w:r w:rsidRPr="003B01FE">
        <w:rPr>
          <w:rFonts w:ascii="Arial" w:hAnsi="Arial"/>
          <w:sz w:val="20"/>
        </w:rPr>
        <w:t xml:space="preserve"> savings calculations.</w:t>
      </w:r>
    </w:p>
    <w:p w14:paraId="40AF4CEA" w14:textId="77777777" w:rsidR="00FD6117" w:rsidRPr="003B01FE" w:rsidRDefault="00FD6117" w:rsidP="00FD6117">
      <w:pPr>
        <w:tabs>
          <w:tab w:val="left" w:pos="6435"/>
        </w:tabs>
        <w:rPr>
          <w:rFonts w:ascii="Arial" w:hAnsi="Arial"/>
          <w:sz w:val="20"/>
        </w:rPr>
      </w:pPr>
    </w:p>
    <w:p w14:paraId="468AE467" w14:textId="08E7D3A6" w:rsidR="00EC568D" w:rsidRPr="003B01FE" w:rsidRDefault="00EC568D" w:rsidP="00FD6117">
      <w:pPr>
        <w:tabs>
          <w:tab w:val="left" w:pos="6435"/>
        </w:tabs>
        <w:rPr>
          <w:rFonts w:ascii="Arial" w:hAnsi="Arial"/>
          <w:b/>
          <w:sz w:val="20"/>
          <w:u w:val="single"/>
        </w:rPr>
      </w:pPr>
      <w:r w:rsidRPr="003B01FE">
        <w:rPr>
          <w:rFonts w:ascii="Arial" w:hAnsi="Arial"/>
          <w:b/>
          <w:sz w:val="20"/>
        </w:rPr>
        <w:t>Effective Useful Life / Remaining Useful Life</w:t>
      </w:r>
    </w:p>
    <w:p w14:paraId="59692174" w14:textId="58A5E7CA" w:rsidR="00EC568D" w:rsidRPr="003B01FE" w:rsidRDefault="00EC568D" w:rsidP="00EC568D">
      <w:pPr>
        <w:rPr>
          <w:rFonts w:ascii="Arial" w:hAnsi="Arial"/>
          <w:sz w:val="20"/>
        </w:rPr>
      </w:pPr>
      <w:r w:rsidRPr="003B01FE">
        <w:rPr>
          <w:rFonts w:ascii="Arial" w:hAnsi="Arial"/>
          <w:sz w:val="20"/>
        </w:rPr>
        <w:t>The rated life for these products is assumed to be 5</w:t>
      </w:r>
      <w:r w:rsidR="00B16195" w:rsidRPr="003B01FE">
        <w:rPr>
          <w:rFonts w:ascii="Arial" w:hAnsi="Arial"/>
          <w:sz w:val="20"/>
        </w:rPr>
        <w:t>0</w:t>
      </w:r>
      <w:r w:rsidRPr="003B01FE">
        <w:rPr>
          <w:rFonts w:ascii="Arial" w:hAnsi="Arial"/>
          <w:sz w:val="20"/>
        </w:rPr>
        <w:t xml:space="preserve">,000 hours, the minimum DLC specification. Rated life for DLC-listed products </w:t>
      </w:r>
      <w:r w:rsidR="002D37BE" w:rsidRPr="003B01FE">
        <w:rPr>
          <w:rFonts w:ascii="Arial" w:hAnsi="Arial"/>
          <w:sz w:val="20"/>
        </w:rPr>
        <w:t>starts at</w:t>
      </w:r>
      <w:r w:rsidRPr="003B01FE">
        <w:rPr>
          <w:rFonts w:ascii="Arial" w:hAnsi="Arial"/>
          <w:sz w:val="20"/>
        </w:rPr>
        <w:t xml:space="preserve"> 5</w:t>
      </w:r>
      <w:r w:rsidR="002D37BE" w:rsidRPr="003B01FE">
        <w:rPr>
          <w:rFonts w:ascii="Arial" w:hAnsi="Arial"/>
          <w:sz w:val="20"/>
        </w:rPr>
        <w:t>0</w:t>
      </w:r>
      <w:r w:rsidRPr="003B01FE">
        <w:rPr>
          <w:rFonts w:ascii="Arial" w:hAnsi="Arial"/>
          <w:sz w:val="20"/>
        </w:rPr>
        <w:t xml:space="preserve">,000 hours and </w:t>
      </w:r>
      <w:r w:rsidR="002D37BE" w:rsidRPr="003B01FE">
        <w:rPr>
          <w:rFonts w:ascii="Arial" w:hAnsi="Arial"/>
          <w:sz w:val="20"/>
        </w:rPr>
        <w:t>extends much higher, but a minimum of 50,000 hours or 12 years is used here</w:t>
      </w:r>
      <w:r w:rsidRPr="003B01FE">
        <w:rPr>
          <w:rFonts w:ascii="Arial" w:hAnsi="Arial"/>
          <w:sz w:val="20"/>
        </w:rPr>
        <w:t xml:space="preserve">. Since the EUL is dependent on the hours of operation, the EUL varies by building type. </w:t>
      </w:r>
    </w:p>
    <w:p w14:paraId="31353768" w14:textId="77777777" w:rsidR="00EC568D" w:rsidRPr="003B01FE" w:rsidRDefault="00EC568D" w:rsidP="00EC568D">
      <w:pPr>
        <w:rPr>
          <w:rFonts w:ascii="Arial" w:hAnsi="Arial"/>
          <w:sz w:val="20"/>
        </w:rPr>
      </w:pPr>
    </w:p>
    <w:p w14:paraId="619B6992" w14:textId="6FBA1D1A" w:rsidR="00EC568D" w:rsidRPr="003B01FE" w:rsidRDefault="00EC568D" w:rsidP="00EC568D">
      <w:pPr>
        <w:rPr>
          <w:rFonts w:ascii="Arial" w:hAnsi="Arial"/>
          <w:sz w:val="20"/>
        </w:rPr>
      </w:pPr>
      <w:r w:rsidRPr="003B01FE">
        <w:rPr>
          <w:rFonts w:ascii="Arial" w:hAnsi="Arial"/>
          <w:sz w:val="20"/>
        </w:rPr>
        <w:t>The EUL is based on 5</w:t>
      </w:r>
      <w:r w:rsidR="002D37BE" w:rsidRPr="003B01FE">
        <w:rPr>
          <w:rFonts w:ascii="Arial" w:hAnsi="Arial"/>
          <w:sz w:val="20"/>
        </w:rPr>
        <w:t>0</w:t>
      </w:r>
      <w:r w:rsidRPr="003B01FE">
        <w:rPr>
          <w:rFonts w:ascii="Arial" w:hAnsi="Arial"/>
          <w:sz w:val="20"/>
        </w:rPr>
        <w:t>,000 hours rated fixture life divided by average annual hours of operation for each building type:</w:t>
      </w:r>
    </w:p>
    <w:p w14:paraId="222DE93F" w14:textId="77777777" w:rsidR="00EC568D" w:rsidRPr="003B01FE" w:rsidRDefault="00EC568D" w:rsidP="00EC568D">
      <w:pPr>
        <w:rPr>
          <w:rFonts w:ascii="Arial" w:hAnsi="Arial"/>
          <w:sz w:val="20"/>
        </w:rPr>
      </w:pPr>
    </w:p>
    <w:p w14:paraId="5659DC3E" w14:textId="1BC4CF9E" w:rsidR="00EC568D" w:rsidRPr="003B01FE" w:rsidRDefault="00EC568D" w:rsidP="00EC568D">
      <w:pPr>
        <w:rPr>
          <w:rFonts w:ascii="Arial" w:hAnsi="Arial"/>
          <w:sz w:val="20"/>
        </w:rPr>
      </w:pPr>
      <w:r w:rsidRPr="003B01FE">
        <w:rPr>
          <w:rFonts w:ascii="Arial" w:hAnsi="Arial"/>
          <w:sz w:val="20"/>
        </w:rPr>
        <w:tab/>
        <w:t xml:space="preserve">EUL = (DLC-Minimum Fixture Life (hours)) / (Average Operating Hours </w:t>
      </w:r>
      <w:r w:rsidR="00025717" w:rsidRPr="003B01FE">
        <w:rPr>
          <w:rFonts w:ascii="Arial" w:hAnsi="Arial"/>
          <w:sz w:val="20"/>
        </w:rPr>
        <w:t>per</w:t>
      </w:r>
      <w:r w:rsidRPr="003B01FE">
        <w:rPr>
          <w:rFonts w:ascii="Arial" w:hAnsi="Arial"/>
          <w:sz w:val="20"/>
        </w:rPr>
        <w:t xml:space="preserve"> Year)</w:t>
      </w:r>
    </w:p>
    <w:p w14:paraId="506325DE" w14:textId="77777777" w:rsidR="00EC568D" w:rsidRPr="003B01FE" w:rsidRDefault="00EC568D" w:rsidP="00EC568D">
      <w:pPr>
        <w:rPr>
          <w:rFonts w:ascii="Arial" w:hAnsi="Arial"/>
          <w:sz w:val="20"/>
        </w:rPr>
      </w:pPr>
    </w:p>
    <w:p w14:paraId="06B08C58" w14:textId="7C17954C" w:rsidR="00EC568D" w:rsidRPr="003B01FE" w:rsidRDefault="00EC568D" w:rsidP="00EC568D">
      <w:pPr>
        <w:pStyle w:val="Caption"/>
        <w:keepNext/>
        <w:jc w:val="center"/>
      </w:pPr>
      <w:bookmarkStart w:id="68" w:name="_Toc511038012"/>
      <w:bookmarkStart w:id="69" w:name="_Toc511244273"/>
      <w:bookmarkStart w:id="70" w:name="_Toc511244298"/>
      <w:bookmarkStart w:id="71" w:name="_Toc511244917"/>
      <w:r w:rsidRPr="003B01FE">
        <w:t xml:space="preserve">Table </w:t>
      </w:r>
      <w:r w:rsidR="00C426D4">
        <w:fldChar w:fldCharType="begin"/>
      </w:r>
      <w:r w:rsidR="00C426D4">
        <w:instrText xml:space="preserve"> SEQ Table \* ARABIC </w:instrText>
      </w:r>
      <w:r w:rsidR="00C426D4">
        <w:fldChar w:fldCharType="separate"/>
      </w:r>
      <w:r w:rsidR="00E94C25">
        <w:rPr>
          <w:noProof/>
        </w:rPr>
        <w:t>8</w:t>
      </w:r>
      <w:r w:rsidR="00C426D4">
        <w:rPr>
          <w:noProof/>
        </w:rPr>
        <w:fldChar w:fldCharType="end"/>
      </w:r>
      <w:r w:rsidRPr="003B01FE">
        <w:t xml:space="preserve"> - Effective Useful Life/Remaining Useful Life</w:t>
      </w:r>
      <w:bookmarkEnd w:id="68"/>
      <w:bookmarkEnd w:id="69"/>
      <w:bookmarkEnd w:id="70"/>
      <w:bookmarkEnd w:id="71"/>
    </w:p>
    <w:tbl>
      <w:tblPr>
        <w:tblStyle w:val="TableGrid1"/>
        <w:tblW w:w="5000" w:type="pct"/>
        <w:tblLook w:val="04A0" w:firstRow="1" w:lastRow="0" w:firstColumn="1" w:lastColumn="0" w:noHBand="0" w:noVBand="1"/>
      </w:tblPr>
      <w:tblGrid>
        <w:gridCol w:w="1552"/>
        <w:gridCol w:w="3828"/>
        <w:gridCol w:w="879"/>
        <w:gridCol w:w="1450"/>
        <w:gridCol w:w="969"/>
        <w:gridCol w:w="898"/>
      </w:tblGrid>
      <w:tr w:rsidR="00EC568D" w:rsidRPr="009842A2" w14:paraId="43EA70A7" w14:textId="77777777" w:rsidTr="005E1ACB">
        <w:tc>
          <w:tcPr>
            <w:tcW w:w="810" w:type="pct"/>
            <w:shd w:val="clear" w:color="auto" w:fill="D9D9D9" w:themeFill="background1" w:themeFillShade="D9"/>
            <w:vAlign w:val="center"/>
          </w:tcPr>
          <w:p w14:paraId="3E04C584" w14:textId="77777777" w:rsidR="00EC568D" w:rsidRPr="003B01FE" w:rsidRDefault="00EC568D" w:rsidP="005E1ACB">
            <w:pPr>
              <w:jc w:val="center"/>
              <w:rPr>
                <w:rFonts w:ascii="Arial" w:hAnsi="Arial"/>
                <w:b/>
                <w:sz w:val="20"/>
              </w:rPr>
            </w:pPr>
            <w:r w:rsidRPr="003B01FE">
              <w:rPr>
                <w:rFonts w:ascii="Arial" w:hAnsi="Arial"/>
                <w:b/>
                <w:sz w:val="20"/>
              </w:rPr>
              <w:t>EUL ID</w:t>
            </w:r>
          </w:p>
        </w:tc>
        <w:tc>
          <w:tcPr>
            <w:tcW w:w="1999" w:type="pct"/>
            <w:shd w:val="clear" w:color="auto" w:fill="D9D9D9" w:themeFill="background1" w:themeFillShade="D9"/>
            <w:vAlign w:val="center"/>
          </w:tcPr>
          <w:p w14:paraId="581A1F9C" w14:textId="77777777" w:rsidR="00EC568D" w:rsidRPr="003B01FE" w:rsidRDefault="00EC568D" w:rsidP="005E1ACB">
            <w:pPr>
              <w:jc w:val="center"/>
              <w:rPr>
                <w:rFonts w:ascii="Arial" w:hAnsi="Arial"/>
                <w:b/>
                <w:sz w:val="20"/>
              </w:rPr>
            </w:pPr>
            <w:r w:rsidRPr="003B01FE">
              <w:rPr>
                <w:rFonts w:ascii="Arial" w:hAnsi="Arial"/>
                <w:b/>
                <w:sz w:val="20"/>
              </w:rPr>
              <w:t>Description</w:t>
            </w:r>
          </w:p>
        </w:tc>
        <w:tc>
          <w:tcPr>
            <w:tcW w:w="459" w:type="pct"/>
            <w:shd w:val="clear" w:color="auto" w:fill="D9D9D9" w:themeFill="background1" w:themeFillShade="D9"/>
            <w:vAlign w:val="center"/>
          </w:tcPr>
          <w:p w14:paraId="7D3B8886" w14:textId="77777777" w:rsidR="00EC568D" w:rsidRPr="003B01FE" w:rsidRDefault="00EC568D" w:rsidP="005E1ACB">
            <w:pPr>
              <w:jc w:val="center"/>
              <w:rPr>
                <w:rFonts w:ascii="Arial" w:hAnsi="Arial"/>
                <w:b/>
                <w:sz w:val="20"/>
              </w:rPr>
            </w:pPr>
            <w:r w:rsidRPr="003B01FE">
              <w:rPr>
                <w:rFonts w:ascii="Arial" w:hAnsi="Arial"/>
                <w:b/>
                <w:sz w:val="20"/>
              </w:rPr>
              <w:t>Sector</w:t>
            </w:r>
          </w:p>
        </w:tc>
        <w:tc>
          <w:tcPr>
            <w:tcW w:w="757" w:type="pct"/>
            <w:shd w:val="clear" w:color="auto" w:fill="D9D9D9" w:themeFill="background1" w:themeFillShade="D9"/>
            <w:vAlign w:val="center"/>
          </w:tcPr>
          <w:p w14:paraId="6FF16940" w14:textId="77777777" w:rsidR="00EC568D" w:rsidRPr="003B01FE" w:rsidRDefault="00EC568D" w:rsidP="005E1ACB">
            <w:pPr>
              <w:jc w:val="center"/>
              <w:rPr>
                <w:rFonts w:ascii="Arial" w:hAnsi="Arial"/>
                <w:b/>
                <w:sz w:val="20"/>
              </w:rPr>
            </w:pPr>
            <w:r w:rsidRPr="003B01FE">
              <w:rPr>
                <w:rFonts w:ascii="Arial" w:hAnsi="Arial"/>
                <w:b/>
                <w:sz w:val="20"/>
              </w:rPr>
              <w:t>UseCategory</w:t>
            </w:r>
          </w:p>
        </w:tc>
        <w:tc>
          <w:tcPr>
            <w:tcW w:w="506" w:type="pct"/>
            <w:shd w:val="clear" w:color="auto" w:fill="D9D9D9" w:themeFill="background1" w:themeFillShade="D9"/>
            <w:vAlign w:val="center"/>
          </w:tcPr>
          <w:p w14:paraId="1B5F9DBC" w14:textId="77777777" w:rsidR="00EC568D" w:rsidRPr="003B01FE" w:rsidRDefault="00EC568D" w:rsidP="005E1ACB">
            <w:pPr>
              <w:jc w:val="center"/>
              <w:rPr>
                <w:rFonts w:ascii="Arial" w:hAnsi="Arial"/>
                <w:b/>
                <w:sz w:val="20"/>
              </w:rPr>
            </w:pPr>
            <w:r w:rsidRPr="003B01FE">
              <w:rPr>
                <w:rFonts w:ascii="Arial" w:hAnsi="Arial"/>
                <w:b/>
                <w:sz w:val="20"/>
              </w:rPr>
              <w:t>EUL (Years)</w:t>
            </w:r>
          </w:p>
        </w:tc>
        <w:tc>
          <w:tcPr>
            <w:tcW w:w="469" w:type="pct"/>
            <w:shd w:val="clear" w:color="auto" w:fill="D9D9D9" w:themeFill="background1" w:themeFillShade="D9"/>
            <w:vAlign w:val="center"/>
          </w:tcPr>
          <w:p w14:paraId="3E32F4E9" w14:textId="77777777" w:rsidR="00EC568D" w:rsidRPr="003B01FE" w:rsidRDefault="00EC568D" w:rsidP="005E1ACB">
            <w:pPr>
              <w:jc w:val="center"/>
              <w:rPr>
                <w:rFonts w:ascii="Arial" w:hAnsi="Arial"/>
                <w:b/>
                <w:sz w:val="20"/>
              </w:rPr>
            </w:pPr>
            <w:r w:rsidRPr="003B01FE">
              <w:rPr>
                <w:rFonts w:ascii="Arial" w:hAnsi="Arial"/>
                <w:b/>
                <w:sz w:val="20"/>
              </w:rPr>
              <w:t>RUL (Years)</w:t>
            </w:r>
          </w:p>
        </w:tc>
      </w:tr>
      <w:tr w:rsidR="00EC568D" w:rsidRPr="009842A2" w14:paraId="5215A432" w14:textId="77777777" w:rsidTr="00025717">
        <w:trPr>
          <w:trHeight w:val="243"/>
        </w:trPr>
        <w:tc>
          <w:tcPr>
            <w:tcW w:w="810" w:type="pct"/>
            <w:vAlign w:val="center"/>
          </w:tcPr>
          <w:p w14:paraId="13F080A0" w14:textId="77777777" w:rsidR="00EC568D" w:rsidRPr="003B01FE" w:rsidRDefault="00EC568D" w:rsidP="00025717">
            <w:pPr>
              <w:jc w:val="center"/>
              <w:rPr>
                <w:rFonts w:ascii="Arial" w:hAnsi="Arial"/>
                <w:sz w:val="20"/>
              </w:rPr>
            </w:pPr>
            <w:r w:rsidRPr="003B01FE">
              <w:rPr>
                <w:rFonts w:ascii="Arial" w:hAnsi="Arial"/>
                <w:sz w:val="20"/>
              </w:rPr>
              <w:t>ILtg-Com-LED-50000hr</w:t>
            </w:r>
          </w:p>
        </w:tc>
        <w:tc>
          <w:tcPr>
            <w:tcW w:w="1999" w:type="pct"/>
            <w:vAlign w:val="center"/>
          </w:tcPr>
          <w:p w14:paraId="4D90C859" w14:textId="77777777" w:rsidR="00025717" w:rsidRPr="003B01FE" w:rsidRDefault="00025717" w:rsidP="00025717">
            <w:pPr>
              <w:jc w:val="center"/>
              <w:rPr>
                <w:rFonts w:ascii="Arial" w:hAnsi="Arial"/>
                <w:sz w:val="20"/>
              </w:rPr>
            </w:pPr>
          </w:p>
          <w:p w14:paraId="685DB2D1" w14:textId="046AF0EE" w:rsidR="00EC568D" w:rsidRPr="003B01FE" w:rsidRDefault="00025717" w:rsidP="00025717">
            <w:pPr>
              <w:jc w:val="center"/>
              <w:rPr>
                <w:rFonts w:ascii="Arial" w:hAnsi="Arial"/>
                <w:sz w:val="20"/>
              </w:rPr>
            </w:pPr>
            <w:r w:rsidRPr="003B01FE">
              <w:rPr>
                <w:rFonts w:ascii="Arial" w:hAnsi="Arial"/>
                <w:sz w:val="20"/>
              </w:rPr>
              <w:t>LED Fixture - Indoor- Commercial</w:t>
            </w:r>
          </w:p>
          <w:p w14:paraId="0C833852" w14:textId="77777777" w:rsidR="00025717" w:rsidRPr="003B01FE" w:rsidRDefault="00025717" w:rsidP="00025717">
            <w:pPr>
              <w:jc w:val="center"/>
              <w:rPr>
                <w:rFonts w:ascii="Arial" w:hAnsi="Arial"/>
                <w:sz w:val="20"/>
              </w:rPr>
            </w:pPr>
          </w:p>
        </w:tc>
        <w:tc>
          <w:tcPr>
            <w:tcW w:w="459" w:type="pct"/>
            <w:vAlign w:val="center"/>
          </w:tcPr>
          <w:p w14:paraId="21144C20" w14:textId="77777777" w:rsidR="00EC568D" w:rsidRPr="003B01FE" w:rsidRDefault="00EC568D" w:rsidP="00025717">
            <w:pPr>
              <w:jc w:val="center"/>
              <w:rPr>
                <w:rFonts w:ascii="Arial" w:hAnsi="Arial"/>
                <w:sz w:val="20"/>
              </w:rPr>
            </w:pPr>
            <w:r w:rsidRPr="003B01FE">
              <w:rPr>
                <w:rFonts w:ascii="Arial" w:hAnsi="Arial"/>
                <w:sz w:val="20"/>
              </w:rPr>
              <w:t>Com</w:t>
            </w:r>
          </w:p>
        </w:tc>
        <w:tc>
          <w:tcPr>
            <w:tcW w:w="757" w:type="pct"/>
            <w:vAlign w:val="center"/>
          </w:tcPr>
          <w:p w14:paraId="22B93328" w14:textId="77777777" w:rsidR="00EC568D" w:rsidRPr="003B01FE" w:rsidRDefault="00EC568D" w:rsidP="00025717">
            <w:pPr>
              <w:jc w:val="center"/>
              <w:rPr>
                <w:rFonts w:ascii="Arial" w:hAnsi="Arial"/>
                <w:sz w:val="20"/>
              </w:rPr>
            </w:pPr>
            <w:r w:rsidRPr="003B01FE">
              <w:rPr>
                <w:rFonts w:ascii="Arial" w:hAnsi="Arial"/>
                <w:sz w:val="20"/>
              </w:rPr>
              <w:t>Lighting</w:t>
            </w:r>
          </w:p>
        </w:tc>
        <w:tc>
          <w:tcPr>
            <w:tcW w:w="506" w:type="pct"/>
            <w:vAlign w:val="center"/>
          </w:tcPr>
          <w:p w14:paraId="35EC3C9B" w14:textId="77777777" w:rsidR="00EC568D" w:rsidRPr="003B01FE" w:rsidRDefault="00EC568D" w:rsidP="00025717">
            <w:pPr>
              <w:jc w:val="center"/>
              <w:rPr>
                <w:rFonts w:ascii="Arial" w:hAnsi="Arial"/>
                <w:sz w:val="20"/>
              </w:rPr>
            </w:pPr>
            <w:r w:rsidRPr="003B01FE">
              <w:rPr>
                <w:rFonts w:ascii="Arial" w:hAnsi="Arial"/>
                <w:sz w:val="20"/>
              </w:rPr>
              <w:t>12</w:t>
            </w:r>
          </w:p>
        </w:tc>
        <w:tc>
          <w:tcPr>
            <w:tcW w:w="469" w:type="pct"/>
            <w:vAlign w:val="center"/>
          </w:tcPr>
          <w:p w14:paraId="42DDCD31" w14:textId="77777777" w:rsidR="00EC568D" w:rsidRPr="003B01FE" w:rsidRDefault="00EC568D" w:rsidP="00025717">
            <w:pPr>
              <w:jc w:val="center"/>
              <w:rPr>
                <w:rFonts w:ascii="Arial" w:hAnsi="Arial"/>
                <w:sz w:val="20"/>
              </w:rPr>
            </w:pPr>
            <w:r w:rsidRPr="003B01FE">
              <w:rPr>
                <w:rFonts w:ascii="Arial" w:hAnsi="Arial"/>
                <w:sz w:val="20"/>
              </w:rPr>
              <w:t>4</w:t>
            </w:r>
          </w:p>
        </w:tc>
      </w:tr>
    </w:tbl>
    <w:p w14:paraId="2348F260" w14:textId="70B6481D" w:rsidR="002E0043" w:rsidRPr="00102F3E" w:rsidRDefault="001248A3" w:rsidP="003B434C">
      <w:pPr>
        <w:pStyle w:val="Heading3"/>
      </w:pPr>
      <w:bookmarkStart w:id="72" w:name="_Toc511038031"/>
      <w:bookmarkStart w:id="73" w:name="_Toc511244883"/>
      <w:r w:rsidRPr="00102F3E">
        <w:t>1.</w:t>
      </w:r>
      <w:r w:rsidR="00FA595F" w:rsidRPr="00102F3E">
        <w:t>4</w:t>
      </w:r>
      <w:r w:rsidR="00793646" w:rsidRPr="00102F3E">
        <w:t>.2</w:t>
      </w:r>
      <w:r w:rsidR="00FA595F" w:rsidRPr="00102F3E">
        <w:t xml:space="preserve"> </w:t>
      </w:r>
      <w:r w:rsidR="00E71EF1" w:rsidRPr="00102F3E">
        <w:t xml:space="preserve">Codes &amp; Standards </w:t>
      </w:r>
      <w:r w:rsidR="002B40BA" w:rsidRPr="00102F3E">
        <w:t>Analysis</w:t>
      </w:r>
      <w:bookmarkEnd w:id="72"/>
      <w:bookmarkEnd w:id="73"/>
    </w:p>
    <w:p w14:paraId="4087090B" w14:textId="34EBA98E" w:rsidR="00B56D9D" w:rsidRPr="00102F3E" w:rsidRDefault="00EE53FF" w:rsidP="00B56D9D">
      <w:pPr>
        <w:rPr>
          <w:rFonts w:ascii="Arial" w:hAnsi="Arial" w:cs="Arial"/>
          <w:sz w:val="20"/>
          <w:szCs w:val="20"/>
        </w:rPr>
      </w:pPr>
      <w:r w:rsidRPr="00102F3E">
        <w:rPr>
          <w:rFonts w:ascii="Arial" w:hAnsi="Arial" w:cs="Arial"/>
          <w:b/>
          <w:i/>
        </w:rPr>
        <w:t>Title 20:</w:t>
      </w:r>
      <w:r w:rsidRPr="00102F3E">
        <w:rPr>
          <w:rFonts w:ascii="Arial" w:hAnsi="Arial" w:cs="Arial"/>
        </w:rPr>
        <w:t xml:space="preserve"> </w:t>
      </w:r>
      <w:r w:rsidR="00B13099" w:rsidRPr="00102F3E">
        <w:rPr>
          <w:rFonts w:ascii="Arial" w:hAnsi="Arial" w:cs="Arial"/>
          <w:sz w:val="20"/>
          <w:szCs w:val="20"/>
        </w:rPr>
        <w:t>Th</w:t>
      </w:r>
      <w:r w:rsidRPr="00102F3E">
        <w:rPr>
          <w:rFonts w:ascii="Arial" w:hAnsi="Arial" w:cs="Arial"/>
          <w:sz w:val="20"/>
          <w:szCs w:val="20"/>
        </w:rPr>
        <w:t>e</w:t>
      </w:r>
      <w:r w:rsidR="00B56D9D" w:rsidRPr="00102F3E">
        <w:rPr>
          <w:rFonts w:ascii="Arial" w:hAnsi="Arial" w:cs="Arial"/>
          <w:sz w:val="20"/>
          <w:szCs w:val="20"/>
        </w:rPr>
        <w:t xml:space="preserve"> ballast efficiencies of the</w:t>
      </w:r>
      <w:r w:rsidRPr="00102F3E">
        <w:rPr>
          <w:rFonts w:ascii="Arial" w:hAnsi="Arial" w:cs="Arial"/>
          <w:sz w:val="20"/>
          <w:szCs w:val="20"/>
        </w:rPr>
        <w:t xml:space="preserve">se </w:t>
      </w:r>
      <w:r w:rsidR="00B56D9D" w:rsidRPr="00102F3E">
        <w:rPr>
          <w:rFonts w:ascii="Arial" w:hAnsi="Arial" w:cs="Arial"/>
          <w:sz w:val="20"/>
          <w:szCs w:val="20"/>
        </w:rPr>
        <w:t xml:space="preserve">base case metal halide lighting systems are regulated </w:t>
      </w:r>
      <w:r w:rsidRPr="00102F3E">
        <w:rPr>
          <w:rFonts w:ascii="Arial" w:hAnsi="Arial" w:cs="Arial"/>
          <w:sz w:val="20"/>
          <w:szCs w:val="20"/>
        </w:rPr>
        <w:t>under Title 20 of the California Energy Regulations</w:t>
      </w:r>
      <w:r w:rsidR="00B56D9D" w:rsidRPr="00102F3E">
        <w:rPr>
          <w:rFonts w:ascii="Arial" w:hAnsi="Arial" w:cs="Arial"/>
          <w:sz w:val="20"/>
          <w:szCs w:val="20"/>
        </w:rPr>
        <w:t>, section 1605.3(n)</w:t>
      </w:r>
      <w:r w:rsidRPr="00102F3E">
        <w:rPr>
          <w:rFonts w:ascii="Arial" w:hAnsi="Arial" w:cs="Arial"/>
          <w:sz w:val="20"/>
          <w:szCs w:val="20"/>
        </w:rPr>
        <w:t>.</w:t>
      </w:r>
      <w:r w:rsidR="00B56D9D" w:rsidRPr="00102F3E">
        <w:rPr>
          <w:rFonts w:ascii="Arial" w:hAnsi="Arial" w:cs="Arial"/>
          <w:sz w:val="20"/>
          <w:szCs w:val="20"/>
        </w:rPr>
        <w:t xml:space="preserve"> The most broadly applicable ballast efficiency minimums are as follows: </w:t>
      </w:r>
    </w:p>
    <w:p w14:paraId="1772BF5E" w14:textId="01DEEAF1" w:rsidR="00B56D9D" w:rsidRPr="00102F3E" w:rsidRDefault="00B56D9D" w:rsidP="006666F0">
      <w:pPr>
        <w:pStyle w:val="ListParagraph"/>
        <w:numPr>
          <w:ilvl w:val="0"/>
          <w:numId w:val="5"/>
        </w:numPr>
        <w:rPr>
          <w:rFonts w:ascii="Arial" w:hAnsi="Arial" w:cs="Arial"/>
          <w:sz w:val="20"/>
          <w:szCs w:val="20"/>
        </w:rPr>
      </w:pPr>
      <w:r w:rsidRPr="00102F3E">
        <w:rPr>
          <w:rFonts w:ascii="Arial" w:hAnsi="Arial" w:cs="Arial"/>
          <w:sz w:val="20"/>
          <w:szCs w:val="20"/>
        </w:rPr>
        <w:t>90 percent for 150 to 250 watt lamps; or</w:t>
      </w:r>
    </w:p>
    <w:p w14:paraId="282440DB" w14:textId="3D0D18D4" w:rsidR="00640BB6" w:rsidRPr="00102F3E" w:rsidRDefault="00B56D9D" w:rsidP="006666F0">
      <w:pPr>
        <w:pStyle w:val="ListParagraph"/>
        <w:numPr>
          <w:ilvl w:val="0"/>
          <w:numId w:val="5"/>
        </w:numPr>
        <w:rPr>
          <w:rFonts w:ascii="Arial" w:hAnsi="Arial" w:cs="Arial"/>
          <w:sz w:val="20"/>
          <w:szCs w:val="20"/>
        </w:rPr>
      </w:pPr>
      <w:r w:rsidRPr="00102F3E">
        <w:rPr>
          <w:rFonts w:ascii="Arial" w:hAnsi="Arial" w:cs="Arial"/>
          <w:sz w:val="20"/>
          <w:szCs w:val="20"/>
        </w:rPr>
        <w:t>92 percent for 251 to 500 watt lamps.</w:t>
      </w:r>
    </w:p>
    <w:p w14:paraId="11D8E4E2" w14:textId="43740456" w:rsidR="00B56D9D" w:rsidRPr="00102F3E" w:rsidRDefault="00B56D9D" w:rsidP="00B56D9D">
      <w:pPr>
        <w:rPr>
          <w:rFonts w:ascii="Arial" w:hAnsi="Arial" w:cs="Arial"/>
          <w:sz w:val="20"/>
          <w:szCs w:val="20"/>
        </w:rPr>
      </w:pPr>
      <w:r w:rsidRPr="00102F3E">
        <w:rPr>
          <w:rFonts w:ascii="Arial" w:hAnsi="Arial" w:cs="Arial"/>
          <w:sz w:val="20"/>
          <w:szCs w:val="20"/>
        </w:rPr>
        <w:t>These minimums are assumed for the appropriate measures in the work paper</w:t>
      </w:r>
      <w:r w:rsidR="00073C1E" w:rsidRPr="00102F3E">
        <w:rPr>
          <w:rFonts w:ascii="Arial" w:hAnsi="Arial" w:cs="Arial"/>
          <w:sz w:val="20"/>
          <w:szCs w:val="20"/>
        </w:rPr>
        <w:t>.</w:t>
      </w:r>
    </w:p>
    <w:p w14:paraId="7C7FE457" w14:textId="77777777" w:rsidR="00073C1E" w:rsidRPr="00102F3E" w:rsidRDefault="00073C1E" w:rsidP="00B56D9D">
      <w:pPr>
        <w:rPr>
          <w:rFonts w:ascii="Arial" w:hAnsi="Arial" w:cs="Arial"/>
          <w:sz w:val="20"/>
          <w:szCs w:val="20"/>
        </w:rPr>
      </w:pPr>
    </w:p>
    <w:p w14:paraId="5167E0E1" w14:textId="62D2E89E" w:rsidR="00073C1E" w:rsidRPr="00102F3E" w:rsidRDefault="00EE53FF" w:rsidP="00E6692C">
      <w:pPr>
        <w:rPr>
          <w:rFonts w:ascii="Arial" w:hAnsi="Arial" w:cs="Arial"/>
          <w:sz w:val="20"/>
          <w:szCs w:val="20"/>
        </w:rPr>
      </w:pPr>
      <w:r w:rsidRPr="00102F3E">
        <w:rPr>
          <w:rFonts w:ascii="Arial" w:hAnsi="Arial" w:cs="Arial"/>
          <w:b/>
          <w:i/>
        </w:rPr>
        <w:t>Title 24:</w:t>
      </w:r>
      <w:r w:rsidRPr="00102F3E">
        <w:rPr>
          <w:color w:val="FF0000"/>
        </w:rPr>
        <w:t xml:space="preserve"> </w:t>
      </w:r>
      <w:r w:rsidR="00E6692C" w:rsidRPr="00102F3E">
        <w:rPr>
          <w:rFonts w:ascii="Arial" w:hAnsi="Arial" w:cs="Arial"/>
          <w:sz w:val="20"/>
          <w:szCs w:val="20"/>
        </w:rPr>
        <w:t>Neither the source technology nor the fixture selection for these measures falls under Title 24 [2016]</w:t>
      </w:r>
      <w:r w:rsidR="00573FFA" w:rsidRPr="00102F3E">
        <w:rPr>
          <w:rFonts w:ascii="Arial" w:hAnsi="Arial" w:cs="Arial"/>
          <w:sz w:val="20"/>
          <w:szCs w:val="20"/>
        </w:rPr>
        <w:t xml:space="preserve"> </w:t>
      </w:r>
      <w:r w:rsidR="00573FFA" w:rsidRPr="00102F3E">
        <w:rPr>
          <w:rStyle w:val="EndnoteReference"/>
          <w:rFonts w:ascii="Arial" w:hAnsi="Arial" w:cs="Arial"/>
          <w:sz w:val="20"/>
          <w:szCs w:val="20"/>
        </w:rPr>
        <w:endnoteReference w:id="7"/>
      </w:r>
      <w:r w:rsidR="00573FFA" w:rsidRPr="00102F3E">
        <w:rPr>
          <w:rFonts w:ascii="Arial" w:hAnsi="Arial" w:cs="Arial"/>
          <w:sz w:val="20"/>
          <w:szCs w:val="20"/>
        </w:rPr>
        <w:t xml:space="preserve"> </w:t>
      </w:r>
      <w:r w:rsidR="00E6692C" w:rsidRPr="00102F3E">
        <w:rPr>
          <w:rFonts w:ascii="Arial" w:hAnsi="Arial" w:cs="Arial"/>
          <w:sz w:val="20"/>
          <w:szCs w:val="20"/>
        </w:rPr>
        <w:t xml:space="preserve"> of the California Energy Regulations</w:t>
      </w:r>
      <w:r w:rsidR="00CA1624" w:rsidRPr="00102F3E">
        <w:rPr>
          <w:rFonts w:ascii="Arial" w:hAnsi="Arial" w:cs="Arial"/>
          <w:sz w:val="20"/>
          <w:szCs w:val="20"/>
        </w:rPr>
        <w:t>.</w:t>
      </w:r>
      <w:r w:rsidR="00E6692C" w:rsidRPr="00102F3E">
        <w:rPr>
          <w:rFonts w:ascii="Arial" w:hAnsi="Arial" w:cs="Arial"/>
          <w:sz w:val="20"/>
          <w:szCs w:val="20"/>
        </w:rPr>
        <w:t xml:space="preserve"> However, the Lighting Power Densities (LPD) in watts/ square feet of both measure and base case are capped by Title 24. Given the enormous range in high bay spacing, with 25 and 30 foot spacing possible, any eligible fixture under this measure (capped at 571W/fixture) could meet appropriate LPDs </w:t>
      </w:r>
      <w:r w:rsidR="00971008" w:rsidRPr="00102F3E">
        <w:rPr>
          <w:rFonts w:ascii="Arial" w:hAnsi="Arial" w:cs="Arial"/>
          <w:sz w:val="20"/>
          <w:szCs w:val="20"/>
        </w:rPr>
        <w:t>listed in Table 140.6-C</w:t>
      </w:r>
      <w:r w:rsidR="00CA1624" w:rsidRPr="00102F3E">
        <w:rPr>
          <w:rFonts w:ascii="Arial" w:hAnsi="Arial" w:cs="Arial"/>
          <w:sz w:val="20"/>
          <w:szCs w:val="20"/>
        </w:rPr>
        <w:t xml:space="preserve"> of Title 24.</w:t>
      </w:r>
      <w:r w:rsidR="00102F3E" w:rsidRPr="00102F3E">
        <w:rPr>
          <w:rFonts w:ascii="Arial" w:hAnsi="Arial" w:cs="Arial"/>
          <w:sz w:val="20"/>
          <w:szCs w:val="20"/>
        </w:rPr>
        <w:t xml:space="preserve"> The bases of the 2016 standards for high and low bay occupancies are pulse start metal halide.  The 2019 Title 24 standards will be based on all LED designs.</w:t>
      </w:r>
    </w:p>
    <w:p w14:paraId="05209157" w14:textId="77777777" w:rsidR="00E6692C" w:rsidRPr="00102F3E" w:rsidRDefault="00E6692C" w:rsidP="00E6692C">
      <w:pPr>
        <w:rPr>
          <w:rFonts w:ascii="Arial" w:hAnsi="Arial" w:cs="Arial"/>
          <w:sz w:val="20"/>
          <w:szCs w:val="20"/>
        </w:rPr>
      </w:pPr>
    </w:p>
    <w:p w14:paraId="241BB179" w14:textId="77777777" w:rsidR="001231EA" w:rsidRPr="00102F3E" w:rsidRDefault="00EE53FF" w:rsidP="001231EA">
      <w:pPr>
        <w:rPr>
          <w:rFonts w:ascii="Arial" w:hAnsi="Arial" w:cs="Arial"/>
          <w:sz w:val="20"/>
          <w:szCs w:val="20"/>
        </w:rPr>
      </w:pPr>
      <w:r w:rsidRPr="00102F3E">
        <w:rPr>
          <w:rFonts w:ascii="Arial" w:hAnsi="Arial" w:cs="Arial"/>
          <w:b/>
          <w:i/>
        </w:rPr>
        <w:t>Federal Standards:</w:t>
      </w:r>
      <w:r w:rsidRPr="00102F3E">
        <w:t xml:space="preserve"> </w:t>
      </w:r>
      <w:r w:rsidR="00B13099" w:rsidRPr="00102F3E">
        <w:rPr>
          <w:rFonts w:ascii="Arial" w:hAnsi="Arial" w:cs="Arial"/>
          <w:sz w:val="20"/>
          <w:szCs w:val="20"/>
        </w:rPr>
        <w:t>These measure</w:t>
      </w:r>
      <w:r w:rsidR="001231EA" w:rsidRPr="00102F3E">
        <w:rPr>
          <w:rFonts w:ascii="Arial" w:hAnsi="Arial" w:cs="Arial"/>
          <w:sz w:val="20"/>
          <w:szCs w:val="20"/>
        </w:rPr>
        <w:t xml:space="preserve"> case fixture</w:t>
      </w:r>
      <w:r w:rsidR="00B13099" w:rsidRPr="00102F3E">
        <w:rPr>
          <w:rFonts w:ascii="Arial" w:hAnsi="Arial" w:cs="Arial"/>
          <w:sz w:val="20"/>
          <w:szCs w:val="20"/>
        </w:rPr>
        <w:t xml:space="preserve">s do not fall </w:t>
      </w:r>
      <w:r w:rsidRPr="00102F3E">
        <w:rPr>
          <w:rFonts w:ascii="Arial" w:hAnsi="Arial" w:cs="Arial"/>
          <w:sz w:val="20"/>
          <w:szCs w:val="20"/>
        </w:rPr>
        <w:t>under Federal DOE or EPA Energy Regulations.</w:t>
      </w:r>
      <w:r w:rsidR="001231EA" w:rsidRPr="00102F3E">
        <w:rPr>
          <w:rFonts w:ascii="Arial" w:hAnsi="Arial" w:cs="Arial"/>
          <w:sz w:val="20"/>
          <w:szCs w:val="20"/>
        </w:rPr>
        <w:t xml:space="preserve"> As amended by EISA 2007, EPCA regulates metal halide lamp fixtures designed to be operated with lamps rated greater than or equal to 150 watts (W), but less than or equal to 500 W, by prescribing performance requirements for the metal halide ballasts used in those metal halide lamp </w:t>
      </w:r>
      <w:r w:rsidR="001231EA" w:rsidRPr="00102F3E">
        <w:rPr>
          <w:rFonts w:ascii="Arial" w:hAnsi="Arial" w:cs="Arial"/>
          <w:sz w:val="20"/>
          <w:szCs w:val="20"/>
        </w:rPr>
        <w:lastRenderedPageBreak/>
        <w:t>fixtures</w:t>
      </w:r>
      <w:r w:rsidR="00F7225A" w:rsidRPr="00102F3E">
        <w:rPr>
          <w:rStyle w:val="EndnoteReference"/>
          <w:rFonts w:ascii="Arial" w:hAnsi="Arial" w:cs="Arial"/>
          <w:sz w:val="20"/>
          <w:szCs w:val="20"/>
        </w:rPr>
        <w:endnoteReference w:id="8"/>
      </w:r>
      <w:r w:rsidR="001E02C0" w:rsidRPr="00102F3E">
        <w:rPr>
          <w:rFonts w:ascii="Arial" w:hAnsi="Arial" w:cs="Arial"/>
          <w:sz w:val="20"/>
          <w:szCs w:val="20"/>
        </w:rPr>
        <w:t xml:space="preserve">. </w:t>
      </w:r>
      <w:r w:rsidR="001231EA" w:rsidRPr="00102F3E">
        <w:rPr>
          <w:rFonts w:ascii="Arial" w:hAnsi="Arial" w:cs="Arial"/>
          <w:sz w:val="20"/>
          <w:szCs w:val="20"/>
        </w:rPr>
        <w:t xml:space="preserve">Both metal halide lamps and ballasts are energy-using components of metal halide lamp fixtures. For this MH lamp wattage range, metal halide lamp fixtures must contain the following:  </w:t>
      </w:r>
    </w:p>
    <w:p w14:paraId="557442F3" w14:textId="77777777" w:rsidR="001231EA" w:rsidRPr="00102F3E" w:rsidRDefault="001231EA" w:rsidP="006666F0">
      <w:pPr>
        <w:pStyle w:val="ListParagraph"/>
        <w:numPr>
          <w:ilvl w:val="0"/>
          <w:numId w:val="4"/>
        </w:numPr>
        <w:rPr>
          <w:rFonts w:ascii="Arial" w:hAnsi="Arial" w:cs="Arial"/>
          <w:sz w:val="20"/>
          <w:szCs w:val="20"/>
        </w:rPr>
      </w:pPr>
      <w:r w:rsidRPr="00102F3E">
        <w:rPr>
          <w:rFonts w:ascii="Arial" w:hAnsi="Arial" w:cs="Arial"/>
          <w:sz w:val="20"/>
          <w:szCs w:val="20"/>
        </w:rPr>
        <w:t xml:space="preserve">a pulse-start metal halide ballast with a minimum ballast efficiency of 88 percent; </w:t>
      </w:r>
    </w:p>
    <w:p w14:paraId="683955DE" w14:textId="77777777" w:rsidR="001231EA" w:rsidRPr="00102F3E" w:rsidRDefault="001231EA" w:rsidP="006666F0">
      <w:pPr>
        <w:pStyle w:val="ListParagraph"/>
        <w:numPr>
          <w:ilvl w:val="0"/>
          <w:numId w:val="4"/>
        </w:numPr>
        <w:rPr>
          <w:rFonts w:ascii="Arial" w:hAnsi="Arial" w:cs="Arial"/>
          <w:sz w:val="20"/>
          <w:szCs w:val="20"/>
        </w:rPr>
      </w:pPr>
      <w:r w:rsidRPr="00102F3E">
        <w:rPr>
          <w:rFonts w:ascii="Arial" w:hAnsi="Arial" w:cs="Arial"/>
          <w:sz w:val="20"/>
          <w:szCs w:val="20"/>
        </w:rPr>
        <w:t xml:space="preserve">a magnetic probe-start ballast with a minimum ballast efficiency of 94 percent; or </w:t>
      </w:r>
    </w:p>
    <w:p w14:paraId="7AA00D92" w14:textId="77777777" w:rsidR="001231EA" w:rsidRPr="00102F3E" w:rsidRDefault="001231EA" w:rsidP="006666F0">
      <w:pPr>
        <w:pStyle w:val="ListParagraph"/>
        <w:numPr>
          <w:ilvl w:val="0"/>
          <w:numId w:val="4"/>
        </w:numPr>
        <w:rPr>
          <w:rFonts w:ascii="Arial" w:hAnsi="Arial" w:cs="Arial"/>
          <w:sz w:val="20"/>
          <w:szCs w:val="20"/>
        </w:rPr>
      </w:pPr>
      <w:r w:rsidRPr="00102F3E">
        <w:rPr>
          <w:rFonts w:ascii="Arial" w:hAnsi="Arial" w:cs="Arial"/>
          <w:sz w:val="20"/>
          <w:szCs w:val="20"/>
        </w:rPr>
        <w:t xml:space="preserve">a </w:t>
      </w:r>
      <w:r w:rsidR="008B58A6" w:rsidRPr="00102F3E">
        <w:rPr>
          <w:rFonts w:ascii="Arial" w:hAnsi="Arial" w:cs="Arial"/>
          <w:sz w:val="20"/>
          <w:szCs w:val="20"/>
        </w:rPr>
        <w:t>non-pulse</w:t>
      </w:r>
      <w:r w:rsidRPr="00102F3E">
        <w:rPr>
          <w:rFonts w:ascii="Arial" w:hAnsi="Arial" w:cs="Arial"/>
          <w:sz w:val="20"/>
          <w:szCs w:val="20"/>
        </w:rPr>
        <w:t xml:space="preserve">-start electronic ballast with— </w:t>
      </w:r>
    </w:p>
    <w:p w14:paraId="693597C4" w14:textId="77777777" w:rsidR="001231EA" w:rsidRPr="00102F3E" w:rsidRDefault="001231EA" w:rsidP="006666F0">
      <w:pPr>
        <w:pStyle w:val="ListParagraph"/>
        <w:numPr>
          <w:ilvl w:val="1"/>
          <w:numId w:val="4"/>
        </w:numPr>
        <w:rPr>
          <w:rFonts w:ascii="Arial" w:hAnsi="Arial" w:cs="Arial"/>
          <w:sz w:val="20"/>
          <w:szCs w:val="20"/>
        </w:rPr>
      </w:pPr>
      <w:r w:rsidRPr="00102F3E">
        <w:rPr>
          <w:rFonts w:ascii="Arial" w:hAnsi="Arial" w:cs="Arial"/>
          <w:sz w:val="20"/>
          <w:szCs w:val="20"/>
        </w:rPr>
        <w:t xml:space="preserve">a minimum ballast efficiency of 92 percent for wattages greater than 250 watts; and </w:t>
      </w:r>
    </w:p>
    <w:p w14:paraId="61515FF4" w14:textId="3B49CFAF" w:rsidR="005512B8" w:rsidRPr="00102F3E" w:rsidRDefault="001231EA" w:rsidP="006666F0">
      <w:pPr>
        <w:pStyle w:val="ListParagraph"/>
        <w:numPr>
          <w:ilvl w:val="1"/>
          <w:numId w:val="4"/>
        </w:numPr>
        <w:rPr>
          <w:rFonts w:ascii="Arial" w:hAnsi="Arial" w:cs="Arial"/>
          <w:sz w:val="20"/>
          <w:szCs w:val="20"/>
        </w:rPr>
      </w:pPr>
      <w:r w:rsidRPr="00102F3E">
        <w:rPr>
          <w:rFonts w:ascii="Arial" w:hAnsi="Arial" w:cs="Arial"/>
          <w:sz w:val="20"/>
          <w:szCs w:val="20"/>
        </w:rPr>
        <w:t>a minimum ballast efficiency of 90 percent for wattages less than or equal to 250 watts.</w:t>
      </w:r>
    </w:p>
    <w:p w14:paraId="3D8A2BE7" w14:textId="49D3F157" w:rsidR="000D1381" w:rsidRPr="00763FAC" w:rsidRDefault="001248A3" w:rsidP="0072141D">
      <w:pPr>
        <w:pStyle w:val="Heading2"/>
      </w:pPr>
      <w:bookmarkStart w:id="74" w:name="_Toc511038032"/>
      <w:bookmarkStart w:id="75" w:name="_Toc511244884"/>
      <w:r w:rsidRPr="00763FAC">
        <w:t>1.</w:t>
      </w:r>
      <w:r w:rsidR="002B40BA" w:rsidRPr="00763FAC">
        <w:t>5</w:t>
      </w:r>
      <w:r w:rsidR="00A02F0A" w:rsidRPr="00763FAC">
        <w:t xml:space="preserve"> </w:t>
      </w:r>
      <w:r w:rsidR="00C069A2" w:rsidRPr="00763FAC">
        <w:t>EM&amp;V</w:t>
      </w:r>
      <w:r w:rsidR="00755961" w:rsidRPr="00763FAC">
        <w:t>, Market Potential,</w:t>
      </w:r>
      <w:r w:rsidR="00C069A2" w:rsidRPr="00763FAC">
        <w:t xml:space="preserve"> </w:t>
      </w:r>
      <w:r w:rsidR="0044337C" w:rsidRPr="00763FAC">
        <w:t xml:space="preserve">and Other </w:t>
      </w:r>
      <w:r w:rsidR="00C069A2" w:rsidRPr="00763FAC">
        <w:t>Studies</w:t>
      </w:r>
      <w:r w:rsidR="009C5CA7" w:rsidRPr="00763FAC">
        <w:t xml:space="preserve"> – Base Case and Measure Case Information</w:t>
      </w:r>
      <w:bookmarkEnd w:id="74"/>
      <w:bookmarkEnd w:id="75"/>
    </w:p>
    <w:p w14:paraId="7A2DC04F" w14:textId="7F44DB01" w:rsidR="005F3D21" w:rsidRPr="00763FAC" w:rsidRDefault="005D62D7" w:rsidP="005F3D21">
      <w:pPr>
        <w:rPr>
          <w:rFonts w:ascii="Arial" w:hAnsi="Arial" w:cs="Arial"/>
          <w:sz w:val="20"/>
          <w:szCs w:val="20"/>
        </w:rPr>
      </w:pPr>
      <w:r w:rsidRPr="00763FAC">
        <w:rPr>
          <w:rFonts w:ascii="Arial" w:hAnsi="Arial" w:cs="Arial"/>
          <w:sz w:val="20"/>
          <w:szCs w:val="20"/>
        </w:rPr>
        <w:t xml:space="preserve">The following studies </w:t>
      </w:r>
      <w:r w:rsidR="004E7408">
        <w:rPr>
          <w:rFonts w:ascii="Arial" w:hAnsi="Arial" w:cs="Arial"/>
          <w:sz w:val="20"/>
          <w:szCs w:val="20"/>
        </w:rPr>
        <w:t xml:space="preserve">were </w:t>
      </w:r>
      <w:r w:rsidRPr="00763FAC">
        <w:rPr>
          <w:rFonts w:ascii="Arial" w:hAnsi="Arial" w:cs="Arial"/>
          <w:sz w:val="20"/>
          <w:szCs w:val="20"/>
        </w:rPr>
        <w:t>used for the development of the workpaper</w:t>
      </w:r>
      <w:r w:rsidR="00763FAC">
        <w:rPr>
          <w:rFonts w:ascii="Arial" w:hAnsi="Arial" w:cs="Arial"/>
          <w:sz w:val="20"/>
          <w:szCs w:val="20"/>
        </w:rPr>
        <w:t xml:space="preserve"> </w:t>
      </w:r>
      <w:r w:rsidR="00A071AC">
        <w:rPr>
          <w:rFonts w:ascii="Arial" w:hAnsi="Arial" w:cs="Arial"/>
          <w:sz w:val="20"/>
          <w:szCs w:val="20"/>
        </w:rPr>
        <w:t>and</w:t>
      </w:r>
      <w:r w:rsidR="00763FAC">
        <w:rPr>
          <w:rFonts w:ascii="Arial" w:hAnsi="Arial" w:cs="Arial"/>
          <w:sz w:val="20"/>
          <w:szCs w:val="20"/>
        </w:rPr>
        <w:t xml:space="preserve"> </w:t>
      </w:r>
      <w:r w:rsidR="00A071AC">
        <w:rPr>
          <w:rFonts w:ascii="Arial" w:hAnsi="Arial" w:cs="Arial"/>
          <w:sz w:val="20"/>
          <w:szCs w:val="20"/>
        </w:rPr>
        <w:t xml:space="preserve">briefly </w:t>
      </w:r>
      <w:r w:rsidR="00763FAC">
        <w:rPr>
          <w:rFonts w:ascii="Arial" w:hAnsi="Arial" w:cs="Arial"/>
          <w:sz w:val="20"/>
          <w:szCs w:val="20"/>
        </w:rPr>
        <w:t>described below</w:t>
      </w:r>
      <w:r w:rsidR="004E7408">
        <w:rPr>
          <w:rFonts w:ascii="Arial" w:hAnsi="Arial" w:cs="Arial"/>
          <w:sz w:val="20"/>
          <w:szCs w:val="20"/>
        </w:rPr>
        <w:t>:</w:t>
      </w:r>
    </w:p>
    <w:p w14:paraId="1D4FDCF8" w14:textId="499A8E4A" w:rsidR="004225F5" w:rsidRPr="004225F5" w:rsidRDefault="005D62D7" w:rsidP="005D62D7">
      <w:pPr>
        <w:pStyle w:val="Heading3"/>
      </w:pPr>
      <w:bookmarkStart w:id="76" w:name="_Toc511038033"/>
      <w:bookmarkStart w:id="77" w:name="_Toc511244885"/>
      <w:r w:rsidRPr="00763FAC">
        <w:t xml:space="preserve">1.5.1 </w:t>
      </w:r>
      <w:r w:rsidR="00763FAC">
        <w:t>Lighting Dispositions</w:t>
      </w:r>
      <w:bookmarkEnd w:id="76"/>
      <w:bookmarkEnd w:id="77"/>
    </w:p>
    <w:p w14:paraId="3021E51F" w14:textId="1FA1C686" w:rsidR="004225F5" w:rsidRPr="00763FAC" w:rsidRDefault="004225F5" w:rsidP="004225F5">
      <w:pPr>
        <w:rPr>
          <w:rFonts w:ascii="Arial" w:hAnsi="Arial" w:cs="Arial"/>
          <w:sz w:val="20"/>
          <w:szCs w:val="20"/>
        </w:rPr>
      </w:pPr>
      <w:r w:rsidRPr="00763FAC">
        <w:rPr>
          <w:rFonts w:ascii="Arial" w:hAnsi="Arial" w:cs="Arial"/>
          <w:sz w:val="20"/>
          <w:szCs w:val="20"/>
        </w:rPr>
        <w:t>There were two lighting dispositions that were issued relevant to the development of this workpaper:</w:t>
      </w:r>
    </w:p>
    <w:p w14:paraId="1C49C885" w14:textId="36B0A83E" w:rsidR="004225F5" w:rsidRPr="00763FAC" w:rsidRDefault="004225F5" w:rsidP="006666F0">
      <w:pPr>
        <w:pStyle w:val="ListParagraph"/>
        <w:numPr>
          <w:ilvl w:val="0"/>
          <w:numId w:val="7"/>
        </w:numPr>
        <w:rPr>
          <w:rFonts w:ascii="Arial" w:hAnsi="Arial" w:cs="Arial"/>
          <w:sz w:val="20"/>
          <w:szCs w:val="20"/>
        </w:rPr>
      </w:pPr>
      <w:r w:rsidRPr="00763FAC">
        <w:rPr>
          <w:rFonts w:ascii="Arial" w:hAnsi="Arial" w:cs="Arial"/>
          <w:sz w:val="20"/>
          <w:szCs w:val="20"/>
        </w:rPr>
        <w:t>PGECOLTG178r3_DetailedReview_29Sep2017-final1.pdf</w:t>
      </w:r>
      <w:r w:rsidR="00763FAC">
        <w:rPr>
          <w:rFonts w:ascii="Arial" w:hAnsi="Arial" w:cs="Arial"/>
          <w:sz w:val="20"/>
          <w:szCs w:val="20"/>
        </w:rPr>
        <w:t xml:space="preserve"> (Issued September 29, 2017)</w:t>
      </w:r>
    </w:p>
    <w:p w14:paraId="295DA045" w14:textId="11607122" w:rsidR="004225F5" w:rsidRPr="00763FAC" w:rsidRDefault="00775A54" w:rsidP="006666F0">
      <w:pPr>
        <w:pStyle w:val="ListParagraph"/>
        <w:numPr>
          <w:ilvl w:val="0"/>
          <w:numId w:val="7"/>
        </w:numPr>
        <w:rPr>
          <w:rFonts w:ascii="Arial" w:hAnsi="Arial" w:cs="Arial"/>
          <w:sz w:val="20"/>
          <w:szCs w:val="20"/>
        </w:rPr>
      </w:pPr>
      <w:r w:rsidRPr="00775A54">
        <w:rPr>
          <w:rFonts w:ascii="Arial" w:hAnsi="Arial" w:cs="Arial"/>
          <w:sz w:val="20"/>
          <w:szCs w:val="20"/>
        </w:rPr>
        <w:t>High Bay Fixtures Disposition_03262018.docx-1</w:t>
      </w:r>
      <w:r>
        <w:rPr>
          <w:rFonts w:ascii="Arial" w:hAnsi="Arial" w:cs="Arial"/>
          <w:sz w:val="20"/>
          <w:szCs w:val="20"/>
        </w:rPr>
        <w:t>.</w:t>
      </w:r>
      <w:r w:rsidR="004225F5" w:rsidRPr="00763FAC">
        <w:rPr>
          <w:rFonts w:ascii="Arial" w:hAnsi="Arial" w:cs="Arial"/>
          <w:sz w:val="20"/>
          <w:szCs w:val="20"/>
        </w:rPr>
        <w:t>pdf</w:t>
      </w:r>
      <w:r w:rsidR="00763FAC">
        <w:rPr>
          <w:rFonts w:ascii="Arial" w:hAnsi="Arial" w:cs="Arial"/>
          <w:sz w:val="20"/>
          <w:szCs w:val="20"/>
        </w:rPr>
        <w:t xml:space="preserve"> (Issued March 26, 2018)</w:t>
      </w:r>
    </w:p>
    <w:p w14:paraId="6DD405F9" w14:textId="31A120BD" w:rsidR="005D62D7" w:rsidRDefault="005D62D7" w:rsidP="004225F5">
      <w:pPr>
        <w:rPr>
          <w:rFonts w:ascii="Arial" w:hAnsi="Arial" w:cs="Arial"/>
          <w:sz w:val="20"/>
          <w:szCs w:val="20"/>
          <w:highlight w:val="yellow"/>
        </w:rPr>
      </w:pPr>
    </w:p>
    <w:p w14:paraId="548873D6" w14:textId="77777777" w:rsidR="00763FAC" w:rsidRPr="00763FAC" w:rsidRDefault="00763FAC" w:rsidP="00763FAC">
      <w:pPr>
        <w:rPr>
          <w:rFonts w:ascii="Arial" w:hAnsi="Arial" w:cs="Arial"/>
          <w:sz w:val="20"/>
          <w:szCs w:val="20"/>
        </w:rPr>
      </w:pPr>
      <w:r w:rsidRPr="00763FAC">
        <w:rPr>
          <w:rFonts w:ascii="Arial" w:hAnsi="Arial" w:cs="Arial"/>
          <w:sz w:val="20"/>
          <w:szCs w:val="20"/>
        </w:rPr>
        <w:t>As outlined in the “Disposition for Workpaper PGECOLTG178-REV3 Covering High and Low Bay LED Fixtures” dated September 29, 2017, the PAs will address the following:</w:t>
      </w:r>
    </w:p>
    <w:p w14:paraId="11D0CB9C" w14:textId="00F90E40"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Develop a standard practice baseline that reflects the typical mixture of efficiency levels that are currently selected in normal replacement situations.</w:t>
      </w:r>
    </w:p>
    <w:p w14:paraId="121FE49C" w14:textId="681FD055"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Define measure tiers in a way that assigns greater savings for higher performance products and place an efficacy floor on eligible products.</w:t>
      </w:r>
    </w:p>
    <w:p w14:paraId="6C91EC57" w14:textId="1A822ACA"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Due to the rapid changes in the marketplace, update the measures at least annually.</w:t>
      </w:r>
    </w:p>
    <w:p w14:paraId="3524C43C" w14:textId="79BF1A9F"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Revise measure definitions so that baseline and measure zonal lumen output levels represent similar levels of service.</w:t>
      </w:r>
    </w:p>
    <w:p w14:paraId="336D3CF9" w14:textId="64FF54F3" w:rsidR="00775A54" w:rsidRDefault="00775A54" w:rsidP="00775A54">
      <w:pPr>
        <w:rPr>
          <w:rFonts w:ascii="Arial" w:hAnsi="Arial" w:cs="Arial"/>
          <w:sz w:val="20"/>
          <w:szCs w:val="20"/>
        </w:rPr>
      </w:pPr>
    </w:p>
    <w:p w14:paraId="326AC7F8" w14:textId="67EDFE72" w:rsidR="00775A54" w:rsidRDefault="00775A54" w:rsidP="00775A54">
      <w:pPr>
        <w:rPr>
          <w:rFonts w:ascii="Arial" w:hAnsi="Arial" w:cs="Arial"/>
          <w:sz w:val="20"/>
          <w:szCs w:val="20"/>
        </w:rPr>
      </w:pPr>
      <w:r>
        <w:rPr>
          <w:rFonts w:ascii="Arial" w:hAnsi="Arial" w:cs="Arial"/>
          <w:sz w:val="20"/>
          <w:szCs w:val="20"/>
        </w:rPr>
        <w:t xml:space="preserve">In the more recent lighting </w:t>
      </w:r>
      <w:r w:rsidR="002A65CD">
        <w:rPr>
          <w:rFonts w:ascii="Arial" w:hAnsi="Arial" w:cs="Arial"/>
          <w:sz w:val="20"/>
          <w:szCs w:val="20"/>
        </w:rPr>
        <w:t>disposition, PG&amp;E was directed</w:t>
      </w:r>
      <w:r>
        <w:rPr>
          <w:rFonts w:ascii="Arial" w:hAnsi="Arial" w:cs="Arial"/>
          <w:sz w:val="20"/>
          <w:szCs w:val="20"/>
        </w:rPr>
        <w:t xml:space="preserve"> to the following:</w:t>
      </w:r>
    </w:p>
    <w:p w14:paraId="278E74C5" w14:textId="4A243011" w:rsidR="009440BF" w:rsidRDefault="009440BF" w:rsidP="006666F0">
      <w:pPr>
        <w:pStyle w:val="ListParagraph"/>
        <w:numPr>
          <w:ilvl w:val="0"/>
          <w:numId w:val="11"/>
        </w:numPr>
        <w:rPr>
          <w:rFonts w:ascii="Arial" w:hAnsi="Arial" w:cs="Arial"/>
          <w:i/>
          <w:sz w:val="20"/>
          <w:szCs w:val="20"/>
        </w:rPr>
      </w:pPr>
      <w:r>
        <w:rPr>
          <w:rFonts w:ascii="Arial" w:hAnsi="Arial" w:cs="Arial"/>
          <w:i/>
          <w:sz w:val="20"/>
          <w:szCs w:val="20"/>
        </w:rPr>
        <w:t>Required to work with Commis</w:t>
      </w:r>
      <w:r w:rsidR="00734DF2">
        <w:rPr>
          <w:rFonts w:ascii="Arial" w:hAnsi="Arial" w:cs="Arial"/>
          <w:i/>
          <w:sz w:val="20"/>
          <w:szCs w:val="20"/>
        </w:rPr>
        <w:t>sion Staff over the course of next few days to develop interim ex ante values that will become effective April 1, 2018.</w:t>
      </w:r>
    </w:p>
    <w:p w14:paraId="28251F0F" w14:textId="46A79F13" w:rsidR="00775A54" w:rsidRPr="00775A54" w:rsidRDefault="00775A54" w:rsidP="006666F0">
      <w:pPr>
        <w:pStyle w:val="ListParagraph"/>
        <w:numPr>
          <w:ilvl w:val="0"/>
          <w:numId w:val="11"/>
        </w:numPr>
        <w:rPr>
          <w:rFonts w:ascii="Arial" w:hAnsi="Arial" w:cs="Arial"/>
          <w:i/>
          <w:sz w:val="20"/>
          <w:szCs w:val="20"/>
        </w:rPr>
      </w:pPr>
      <w:r w:rsidRPr="00775A54">
        <w:rPr>
          <w:rFonts w:ascii="Arial" w:hAnsi="Arial" w:cs="Arial"/>
          <w:i/>
          <w:sz w:val="20"/>
          <w:szCs w:val="20"/>
        </w:rPr>
        <w:t>Encouraged to continue to engage with Commission staff if there is continued uncertainty regarding how PG&amp;E can meet the compliance requirements within the September 29, 2017, staff disposition.</w:t>
      </w:r>
    </w:p>
    <w:p w14:paraId="6BA96CB5" w14:textId="271FF125" w:rsidR="00775A54" w:rsidRDefault="00775A54" w:rsidP="006666F0">
      <w:pPr>
        <w:pStyle w:val="ListParagraph"/>
        <w:numPr>
          <w:ilvl w:val="0"/>
          <w:numId w:val="11"/>
        </w:numPr>
        <w:rPr>
          <w:rFonts w:ascii="Arial" w:hAnsi="Arial" w:cs="Arial"/>
          <w:i/>
          <w:sz w:val="20"/>
          <w:szCs w:val="20"/>
        </w:rPr>
      </w:pPr>
      <w:r w:rsidRPr="00775A54">
        <w:rPr>
          <w:rFonts w:ascii="Arial" w:hAnsi="Arial" w:cs="Arial"/>
          <w:i/>
          <w:sz w:val="20"/>
          <w:szCs w:val="20"/>
        </w:rPr>
        <w:t>Shall work with Commission staff and their consultants to develop interim ex ante value ASAP over the next two weeks that allow a resubmission of R3 using those interim values until more robust standard practice baseline work can be completed.</w:t>
      </w:r>
    </w:p>
    <w:p w14:paraId="0F72D85C" w14:textId="3CFDBBF4" w:rsidR="00A071AC" w:rsidRDefault="00A071AC" w:rsidP="00A071AC">
      <w:pPr>
        <w:rPr>
          <w:rFonts w:ascii="Arial" w:hAnsi="Arial" w:cs="Arial"/>
          <w:sz w:val="20"/>
          <w:szCs w:val="20"/>
        </w:rPr>
      </w:pPr>
    </w:p>
    <w:p w14:paraId="6D20646B" w14:textId="53312AB5" w:rsidR="00A071AC" w:rsidRDefault="00A071AC" w:rsidP="00A071AC">
      <w:pPr>
        <w:rPr>
          <w:rFonts w:ascii="Arial" w:hAnsi="Arial" w:cs="Arial"/>
          <w:sz w:val="20"/>
          <w:szCs w:val="20"/>
        </w:rPr>
      </w:pPr>
      <w:r>
        <w:rPr>
          <w:rFonts w:ascii="Arial" w:hAnsi="Arial" w:cs="Arial"/>
          <w:sz w:val="20"/>
          <w:szCs w:val="20"/>
        </w:rPr>
        <w:t>As a result of these dispositions, R3 of this workpaper reflects the agreed interim approach</w:t>
      </w:r>
      <w:r w:rsidR="00476007">
        <w:rPr>
          <w:rFonts w:ascii="Arial" w:hAnsi="Arial" w:cs="Arial"/>
          <w:sz w:val="20"/>
          <w:szCs w:val="20"/>
        </w:rPr>
        <w:t xml:space="preserve">.  Summarized details of R3 and R4 are listed in Section </w:t>
      </w:r>
      <w:r w:rsidR="00B133B8" w:rsidRPr="1AA8F051">
        <w:fldChar w:fldCharType="begin"/>
      </w:r>
      <w:r w:rsidR="00B133B8" w:rsidRPr="00B133B8">
        <w:rPr>
          <w:rFonts w:ascii="Arial" w:hAnsi="Arial" w:cs="Arial"/>
          <w:sz w:val="20"/>
          <w:szCs w:val="20"/>
        </w:rPr>
        <w:instrText xml:space="preserve"> REF _Ref510938903 \h  \* MERGEFORMAT </w:instrText>
      </w:r>
      <w:r w:rsidR="00B133B8" w:rsidRPr="1AA8F051">
        <w:rPr>
          <w:rFonts w:ascii="Arial" w:hAnsi="Arial" w:cs="Arial"/>
          <w:sz w:val="20"/>
          <w:szCs w:val="20"/>
        </w:rPr>
        <w:fldChar w:fldCharType="separate"/>
      </w:r>
      <w:r w:rsidR="00B133B8" w:rsidRPr="00B133B8">
        <w:rPr>
          <w:rFonts w:ascii="Arial" w:hAnsi="Arial" w:cs="Arial"/>
          <w:sz w:val="20"/>
          <w:szCs w:val="20"/>
        </w:rPr>
        <w:t>1.1 Measure Description &amp; Background</w:t>
      </w:r>
      <w:r w:rsidR="00B133B8" w:rsidRPr="1AA8F051">
        <w:fldChar w:fldCharType="end"/>
      </w:r>
      <w:r w:rsidR="00B133B8">
        <w:rPr>
          <w:rFonts w:ascii="Arial" w:hAnsi="Arial" w:cs="Arial"/>
          <w:sz w:val="20"/>
          <w:szCs w:val="20"/>
        </w:rPr>
        <w:t>.</w:t>
      </w:r>
    </w:p>
    <w:p w14:paraId="5858DE3F" w14:textId="448DBEC1" w:rsidR="001537C0" w:rsidRDefault="001537C0" w:rsidP="00A071AC">
      <w:pPr>
        <w:rPr>
          <w:rFonts w:ascii="Arial" w:hAnsi="Arial" w:cs="Arial"/>
          <w:sz w:val="20"/>
          <w:szCs w:val="20"/>
        </w:rPr>
      </w:pPr>
    </w:p>
    <w:p w14:paraId="6C39B55A" w14:textId="7C4656E5" w:rsidR="0048792B" w:rsidRPr="00A071AC" w:rsidRDefault="0048792B" w:rsidP="00A476DC">
      <w:pPr>
        <w:pStyle w:val="Heading3"/>
      </w:pPr>
      <w:bookmarkStart w:id="78" w:name="_Toc511244886"/>
      <w:r>
        <w:t>1.5.2</w:t>
      </w:r>
      <w:r w:rsidRPr="0048792B">
        <w:t xml:space="preserve"> California LED Pricing Analysis, Navigant 2018</w:t>
      </w:r>
      <w:r w:rsidR="007B0C19">
        <w:rPr>
          <w:rStyle w:val="EndnoteReference"/>
        </w:rPr>
        <w:endnoteReference w:id="9"/>
      </w:r>
      <w:bookmarkEnd w:id="78"/>
    </w:p>
    <w:p w14:paraId="4438CBD2"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This market study to evaluate LED product pricing was completed by Navigant Consulting, Inc. in January 2018. This study’s objectives included 1) identifying the range of current prices for DLC and ENERGYSTAR qualified LED products in the California non-residential lighting market for certain priority product categories selected by the IOUs including the LED Highbay/Lowbay lighting product category, 2) determining what factors significantly influence LED price, 3) developing an incremental cost estimate relative to identified baseline technologies (MH, HPS, LF, CFL), and to 4) determine how, and at what rate LED price ranges are anticipated to change as the market matures 3 and 5 years out from 2017. </w:t>
      </w:r>
    </w:p>
    <w:p w14:paraId="51F00DFB" w14:textId="77777777" w:rsidR="00F84644" w:rsidRPr="00392C00" w:rsidRDefault="00F84644" w:rsidP="00F84644">
      <w:pPr>
        <w:rPr>
          <w:rFonts w:ascii="Arial" w:hAnsi="Arial" w:cs="Arial"/>
          <w:sz w:val="20"/>
          <w:szCs w:val="20"/>
        </w:rPr>
      </w:pPr>
    </w:p>
    <w:p w14:paraId="01553619"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Price data from 2016 Q4 and 2017 Q2 was collected from California IOU Program data and from Navigant Research’s LED Price Tracker, which utilizes web-scraping software to collect data on product pricing and specifications online. Of the LED products, only those that met DLC’s technical requirements </w:t>
      </w:r>
      <w:r w:rsidRPr="00392C00">
        <w:rPr>
          <w:rFonts w:ascii="Arial" w:hAnsi="Arial" w:cs="Arial"/>
          <w:sz w:val="20"/>
          <w:szCs w:val="20"/>
        </w:rPr>
        <w:lastRenderedPageBreak/>
        <w:t xml:space="preserve">were included in the study analysis. To determine which factors significantly influence LED prices, a multiple variable regression was conducted to determine the correlation between various product specifications and price. </w:t>
      </w:r>
    </w:p>
    <w:p w14:paraId="3D08FD60" w14:textId="77777777" w:rsidR="00F84644" w:rsidRPr="00392C00" w:rsidRDefault="00F84644" w:rsidP="00F84644">
      <w:pPr>
        <w:rPr>
          <w:rFonts w:ascii="Arial" w:hAnsi="Arial" w:cs="Arial"/>
          <w:sz w:val="20"/>
          <w:szCs w:val="20"/>
        </w:rPr>
      </w:pPr>
    </w:p>
    <w:p w14:paraId="1CED30BB" w14:textId="6DB62D06" w:rsidR="00F84644" w:rsidRPr="00392C00" w:rsidRDefault="00F84644" w:rsidP="00F84644">
      <w:pPr>
        <w:rPr>
          <w:rFonts w:ascii="Arial" w:hAnsi="Arial" w:cs="Arial"/>
          <w:sz w:val="20"/>
          <w:szCs w:val="20"/>
        </w:rPr>
      </w:pPr>
      <w:r w:rsidRPr="00392C00">
        <w:rPr>
          <w:rFonts w:ascii="Arial" w:hAnsi="Arial" w:cs="Arial"/>
          <w:sz w:val="20"/>
          <w:szCs w:val="20"/>
        </w:rPr>
        <w:t>The results of the study initially showed that the biggest driver influencing LED price is lumen output, followed by manufacturer, DLC qualification, and CRI. Efficacy was not one of the significant price determining characteristics. Furthermore, even as DLC efficacy requirements have increased over time, prices have continued to decline. According to the study, price does not appear to scale with efficacy for any of the LED product categories evaluated, including LED Highbay/Lowbay Lighting.</w:t>
      </w:r>
      <w:r w:rsidR="0064565E" w:rsidRPr="0064565E">
        <w:t xml:space="preserve"> </w:t>
      </w:r>
      <w:r w:rsidR="0064565E" w:rsidRPr="0064565E">
        <w:rPr>
          <w:rFonts w:ascii="Arial" w:hAnsi="Arial" w:cs="Arial"/>
          <w:sz w:val="20"/>
          <w:szCs w:val="20"/>
        </w:rPr>
        <w:t xml:space="preserve">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  </w:t>
      </w:r>
      <w:r w:rsidR="00A758B1">
        <w:rPr>
          <w:rFonts w:ascii="Arial" w:hAnsi="Arial" w:cs="Arial"/>
          <w:sz w:val="20"/>
          <w:szCs w:val="20"/>
        </w:rPr>
        <w:t>PG&amp;E</w:t>
      </w:r>
      <w:r w:rsidR="00A758B1" w:rsidRPr="00392C00">
        <w:rPr>
          <w:rFonts w:ascii="Arial" w:hAnsi="Arial" w:cs="Arial"/>
          <w:sz w:val="20"/>
          <w:szCs w:val="20"/>
        </w:rPr>
        <w:t xml:space="preserve"> </w:t>
      </w:r>
      <w:r w:rsidRPr="00392C00">
        <w:rPr>
          <w:rFonts w:ascii="Arial" w:hAnsi="Arial" w:cs="Arial"/>
          <w:sz w:val="20"/>
          <w:szCs w:val="20"/>
        </w:rPr>
        <w:t xml:space="preserve">will consider a </w:t>
      </w:r>
      <w:r w:rsidR="00A758B1">
        <w:rPr>
          <w:rFonts w:ascii="Arial" w:hAnsi="Arial" w:cs="Arial"/>
          <w:sz w:val="20"/>
          <w:szCs w:val="20"/>
        </w:rPr>
        <w:t>measure</w:t>
      </w:r>
      <w:r w:rsidR="00A758B1" w:rsidRPr="00392C00">
        <w:rPr>
          <w:rFonts w:ascii="Arial" w:hAnsi="Arial" w:cs="Arial"/>
          <w:sz w:val="20"/>
          <w:szCs w:val="20"/>
        </w:rPr>
        <w:t xml:space="preserve"> </w:t>
      </w:r>
      <w:r w:rsidRPr="00392C00">
        <w:rPr>
          <w:rFonts w:ascii="Arial" w:hAnsi="Arial" w:cs="Arial"/>
          <w:sz w:val="20"/>
          <w:szCs w:val="20"/>
        </w:rPr>
        <w:t xml:space="preserve">structure that is tiered by both lumen output and efficacy in future workpaper updates that may include separate efficacy tiers. Further research studies to explore and understand the barriers to market adoption other than pricing are needed for future workpaper updates. </w:t>
      </w:r>
    </w:p>
    <w:p w14:paraId="5273479B" w14:textId="77777777" w:rsidR="00F84644" w:rsidRPr="00392C00" w:rsidRDefault="00F84644" w:rsidP="00F84644">
      <w:pPr>
        <w:rPr>
          <w:rFonts w:ascii="Arial" w:hAnsi="Arial" w:cs="Arial"/>
          <w:sz w:val="20"/>
          <w:szCs w:val="20"/>
        </w:rPr>
      </w:pPr>
    </w:p>
    <w:p w14:paraId="2B8EDEB3" w14:textId="77777777" w:rsidR="00F84644" w:rsidRPr="00392C00" w:rsidRDefault="00F84644" w:rsidP="00F84644">
      <w:pPr>
        <w:rPr>
          <w:rFonts w:ascii="Arial" w:hAnsi="Arial" w:cs="Arial"/>
          <w:sz w:val="20"/>
          <w:szCs w:val="20"/>
          <w:highlight w:val="yellow"/>
        </w:rPr>
      </w:pPr>
      <w:r w:rsidRPr="00392C00">
        <w:rPr>
          <w:rFonts w:ascii="Arial" w:hAnsi="Arial" w:cs="Arial"/>
          <w:sz w:val="20"/>
          <w:szCs w:val="20"/>
        </w:rPr>
        <w:t>Figure 1 below (Figure 3-5 in study) shows that the relationship between price and efficacy is highly randomized and there is a large spread in the dataset.  Although the Figure shows LED troffers, this phenomenon can be seen across the other lighting categories as well.</w:t>
      </w:r>
    </w:p>
    <w:p w14:paraId="23024741" w14:textId="77777777" w:rsidR="00F84644" w:rsidRPr="00392C00" w:rsidRDefault="00F84644" w:rsidP="00F84644">
      <w:pPr>
        <w:keepNext/>
        <w:rPr>
          <w:rFonts w:ascii="Arial" w:hAnsi="Arial" w:cs="Arial"/>
          <w:sz w:val="20"/>
          <w:szCs w:val="20"/>
        </w:rPr>
      </w:pPr>
      <w:r w:rsidRPr="00392C00">
        <w:rPr>
          <w:rFonts w:ascii="Arial" w:hAnsi="Arial" w:cs="Arial"/>
          <w:noProof/>
          <w:sz w:val="20"/>
          <w:szCs w:val="20"/>
        </w:rPr>
        <w:drawing>
          <wp:inline distT="0" distB="0" distL="0" distR="0" wp14:anchorId="12FA6CCF" wp14:editId="2C2D09CE">
            <wp:extent cx="4997301" cy="3137729"/>
            <wp:effectExtent l="0" t="0" r="0" b="5715"/>
            <wp:docPr id="460413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4997301" cy="3137729"/>
                    </a:xfrm>
                    <a:prstGeom prst="rect">
                      <a:avLst/>
                    </a:prstGeom>
                  </pic:spPr>
                </pic:pic>
              </a:graphicData>
            </a:graphic>
          </wp:inline>
        </w:drawing>
      </w:r>
    </w:p>
    <w:p w14:paraId="2974545E" w14:textId="36581182" w:rsidR="00F84644" w:rsidRPr="002C3514" w:rsidRDefault="00F84644" w:rsidP="00F84644">
      <w:pPr>
        <w:pStyle w:val="Caption"/>
        <w:rPr>
          <w:rFonts w:ascii="Arial" w:hAnsi="Arial" w:cs="Arial"/>
        </w:rPr>
      </w:pPr>
      <w:bookmarkStart w:id="79" w:name="_Toc511244930"/>
      <w:r w:rsidRPr="002C3514">
        <w:rPr>
          <w:rFonts w:ascii="Arial" w:hAnsi="Arial" w:cs="Arial"/>
        </w:rPr>
        <w:t xml:space="preserve">Figure </w:t>
      </w:r>
      <w:r w:rsidRPr="002C3514">
        <w:rPr>
          <w:rFonts w:ascii="Arial" w:hAnsi="Arial" w:cs="Arial"/>
        </w:rPr>
        <w:fldChar w:fldCharType="begin"/>
      </w:r>
      <w:r w:rsidRPr="002C3514">
        <w:rPr>
          <w:rFonts w:ascii="Arial" w:hAnsi="Arial" w:cs="Arial"/>
        </w:rPr>
        <w:instrText xml:space="preserve"> SEQ Figure \* ARABIC </w:instrText>
      </w:r>
      <w:r w:rsidRPr="002C3514">
        <w:rPr>
          <w:rFonts w:ascii="Arial" w:hAnsi="Arial" w:cs="Arial"/>
        </w:rPr>
        <w:fldChar w:fldCharType="separate"/>
      </w:r>
      <w:r w:rsidR="00E94C25" w:rsidRPr="002C3514">
        <w:rPr>
          <w:rFonts w:ascii="Arial" w:hAnsi="Arial" w:cs="Arial"/>
          <w:noProof/>
        </w:rPr>
        <w:t>1</w:t>
      </w:r>
      <w:r w:rsidRPr="002C3514">
        <w:rPr>
          <w:rFonts w:ascii="Arial" w:hAnsi="Arial" w:cs="Arial"/>
        </w:rPr>
        <w:fldChar w:fldCharType="end"/>
      </w:r>
      <w:r w:rsidRPr="002C3514">
        <w:rPr>
          <w:rFonts w:ascii="Arial" w:hAnsi="Arial" w:cs="Arial"/>
        </w:rPr>
        <w:t>: Web-based LED Price and Efficacy Data for Recessed Troffer/Panel 2’ x 4’</w:t>
      </w:r>
      <w:bookmarkEnd w:id="79"/>
      <w:r w:rsidRPr="002C3514">
        <w:rPr>
          <w:rFonts w:ascii="Arial" w:hAnsi="Arial" w:cs="Arial"/>
        </w:rPr>
        <w:t xml:space="preserve"> </w:t>
      </w:r>
    </w:p>
    <w:p w14:paraId="0BBBBA83" w14:textId="42B3003A" w:rsidR="00F84644" w:rsidRPr="002C3514" w:rsidRDefault="002C3514" w:rsidP="00F84644">
      <w:pPr>
        <w:rPr>
          <w:rFonts w:ascii="Arial" w:hAnsi="Arial" w:cs="Arial"/>
          <w:sz w:val="20"/>
          <w:szCs w:val="20"/>
        </w:rPr>
      </w:pPr>
      <w:r w:rsidRPr="002C3514">
        <w:rPr>
          <w:rFonts w:ascii="Arial" w:hAnsi="Arial" w:cs="Arial"/>
          <w:sz w:val="20"/>
          <w:szCs w:val="20"/>
        </w:rPr>
        <w:t>(Source: California LED Pricing Analysis, Navigant, January 2018)</w:t>
      </w:r>
    </w:p>
    <w:p w14:paraId="681C99BE" w14:textId="77777777" w:rsidR="002C3514" w:rsidRPr="00392C00" w:rsidRDefault="002C3514" w:rsidP="00F84644">
      <w:pPr>
        <w:rPr>
          <w:rFonts w:ascii="Arial" w:hAnsi="Arial" w:cs="Arial"/>
          <w:sz w:val="20"/>
          <w:szCs w:val="20"/>
          <w:highlight w:val="yellow"/>
        </w:rPr>
      </w:pPr>
    </w:p>
    <w:p w14:paraId="3BEEE1D2" w14:textId="77777777" w:rsidR="00F84644" w:rsidRPr="00392C00" w:rsidRDefault="00F84644" w:rsidP="00F84644">
      <w:pPr>
        <w:rPr>
          <w:rFonts w:ascii="Arial" w:hAnsi="Arial" w:cs="Arial"/>
          <w:sz w:val="20"/>
          <w:szCs w:val="20"/>
        </w:rPr>
      </w:pPr>
      <w:r w:rsidRPr="00392C00">
        <w:rPr>
          <w:rFonts w:ascii="Arial" w:hAnsi="Arial" w:cs="Arial"/>
          <w:sz w:val="20"/>
          <w:szCs w:val="20"/>
        </w:rPr>
        <w:t>Lumen output and wattage have a direct relationship, increasing or decreasing proportionally. Therefore, the study’s indication that lumen output is a main driver of LED prices can also be interpreted that wattage may be a primary price driver. Since both factors could not be tested simultaneously due to their collinearity, only one was tested. Increasing lumen output in a product would also require increasing power load which could lead to eventually more drivers or more sophisticated drivers, which adds cost to the LED product. This supports traditional IOU Program rebate structure of offering higher incentives for higher wattage products because as wattage increases, so does product purchase price.</w:t>
      </w:r>
    </w:p>
    <w:p w14:paraId="565A11E6" w14:textId="77777777" w:rsidR="00F84644" w:rsidRPr="00392C00" w:rsidRDefault="00F84644" w:rsidP="00F84644">
      <w:pPr>
        <w:rPr>
          <w:rFonts w:ascii="Arial" w:hAnsi="Arial" w:cs="Arial"/>
          <w:sz w:val="20"/>
          <w:szCs w:val="20"/>
        </w:rPr>
      </w:pPr>
    </w:p>
    <w:p w14:paraId="586D91E0"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The study also noted that the cost to manufacture a product is separate from the consumer purchase price of that product. So, although it may cost more to increase the efficacy of a product, that additional cost is not being reflected in the purchase price the way lumen output/wattage and manufacturer affect </w:t>
      </w:r>
      <w:r w:rsidRPr="00392C00">
        <w:rPr>
          <w:rFonts w:ascii="Arial" w:hAnsi="Arial" w:cs="Arial"/>
          <w:sz w:val="20"/>
          <w:szCs w:val="20"/>
        </w:rPr>
        <w:lastRenderedPageBreak/>
        <w:t>product price. It could be that manufacturers are making trade-offs with other performance parameters to keep prices down as they improve efficacy, but that was not evaluated in this study and could be important future research to better understand the factors that influence LED price.</w:t>
      </w:r>
    </w:p>
    <w:p w14:paraId="7E8218BC" w14:textId="77777777" w:rsidR="00F84644" w:rsidRPr="00392C00" w:rsidRDefault="00F84644" w:rsidP="00F84644">
      <w:pPr>
        <w:rPr>
          <w:rFonts w:ascii="Arial" w:hAnsi="Arial" w:cs="Arial"/>
          <w:sz w:val="20"/>
          <w:szCs w:val="20"/>
        </w:rPr>
      </w:pPr>
    </w:p>
    <w:p w14:paraId="5FFBE6BF" w14:textId="77777777" w:rsidR="00F84644" w:rsidRPr="00392C00" w:rsidRDefault="00F84644" w:rsidP="00F84644">
      <w:pPr>
        <w:rPr>
          <w:rFonts w:ascii="Arial" w:hAnsi="Arial" w:cs="Arial"/>
          <w:sz w:val="20"/>
          <w:szCs w:val="20"/>
        </w:rPr>
      </w:pPr>
      <w:r w:rsidRPr="00392C00">
        <w:rPr>
          <w:rFonts w:ascii="Arial" w:hAnsi="Arial" w:cs="Arial"/>
          <w:sz w:val="20"/>
          <w:szCs w:val="20"/>
        </w:rPr>
        <w:t>Another important finding of this study was that a larger portion of retrofit installations include replacing lamps and ballasts only and not entire fixtures. This is due to the extremely long life of commercial baseline (MH, HPS, induction, linear fluorescent) fixtures. This may have implications for this workpaper since it currently assumes a fixture-to-fixture comparison between base case and measure case.  The incremental measure cost in the two scenarios is very different. Since a common consumer purchasing scenario includes replacement lamps and ballasts only, workpapers should consider including that scenario in the baseline. This will be investigated for a future revision of this workpaper.</w:t>
      </w:r>
    </w:p>
    <w:p w14:paraId="5DD0105E" w14:textId="77777777" w:rsidR="00F84644" w:rsidRPr="00392C00" w:rsidRDefault="00F84644" w:rsidP="00F84644">
      <w:pPr>
        <w:pStyle w:val="Default"/>
        <w:rPr>
          <w:color w:val="auto"/>
          <w:sz w:val="20"/>
          <w:szCs w:val="20"/>
        </w:rPr>
      </w:pPr>
    </w:p>
    <w:p w14:paraId="1210BDF8" w14:textId="77777777" w:rsidR="00F84644" w:rsidRPr="00BF592C" w:rsidRDefault="00F84644" w:rsidP="00F84644">
      <w:pPr>
        <w:pStyle w:val="Default"/>
        <w:rPr>
          <w:color w:val="auto"/>
          <w:sz w:val="20"/>
        </w:rPr>
      </w:pPr>
      <w:r w:rsidRPr="00392C00">
        <w:rPr>
          <w:color w:val="auto"/>
          <w:sz w:val="20"/>
          <w:szCs w:val="20"/>
        </w:rPr>
        <w:t>The study determined that prices will continue to decrease over the next 5 years; however, the rate of decline is slowing across all product categories. It will continue to be important to closely monitor LED prices and update workpapers at least annually.</w:t>
      </w:r>
    </w:p>
    <w:p w14:paraId="27548213" w14:textId="77777777" w:rsidR="00F84644" w:rsidRDefault="00F84644" w:rsidP="00F84644">
      <w:pPr>
        <w:pStyle w:val="Heading3"/>
      </w:pPr>
      <w:bookmarkStart w:id="80" w:name="_Toc511045277"/>
      <w:bookmarkStart w:id="81" w:name="_Toc511210587"/>
      <w:bookmarkStart w:id="82" w:name="_Toc511244887"/>
      <w:r w:rsidRPr="00BF592C">
        <w:t>1.5.3 LED Workpaper Update Study, Navigant 2015</w:t>
      </w:r>
      <w:r>
        <w:rPr>
          <w:rStyle w:val="EndnoteReference"/>
        </w:rPr>
        <w:endnoteReference w:id="10"/>
      </w:r>
      <w:bookmarkEnd w:id="80"/>
      <w:bookmarkEnd w:id="81"/>
      <w:bookmarkEnd w:id="82"/>
    </w:p>
    <w:p w14:paraId="700EE878" w14:textId="77777777" w:rsidR="00F84644" w:rsidRPr="00392C00" w:rsidRDefault="00F84644" w:rsidP="00F84644">
      <w:pPr>
        <w:rPr>
          <w:rFonts w:ascii="Arial" w:hAnsi="Arial" w:cs="Arial"/>
          <w:sz w:val="20"/>
          <w:szCs w:val="20"/>
        </w:rPr>
      </w:pPr>
      <w:r w:rsidRPr="00392C00">
        <w:rPr>
          <w:rFonts w:ascii="Arial" w:hAnsi="Arial" w:cs="Arial"/>
          <w:sz w:val="20"/>
          <w:szCs w:val="20"/>
        </w:rPr>
        <w:t>The LED Workpaper Update Study, also conducted by Navigant Consulting Inc from 2015 was similar to the study completed in 2018. Its objective was to develop findings and recommendations for updates to key parameters and methodologies used in the workpapers, program planning, and parts of the DEER database that target light-emitting diodes (LEDs), to ensure that IOU lighting programs can keep up with rapid changes in LED pricing and efficacy.</w:t>
      </w:r>
    </w:p>
    <w:p w14:paraId="06F92E12" w14:textId="77777777" w:rsidR="00F84644" w:rsidRPr="00392C00" w:rsidRDefault="00F84644" w:rsidP="00F84644">
      <w:pPr>
        <w:rPr>
          <w:rFonts w:ascii="Arial" w:hAnsi="Arial" w:cs="Arial"/>
          <w:sz w:val="20"/>
          <w:szCs w:val="20"/>
        </w:rPr>
      </w:pPr>
    </w:p>
    <w:p w14:paraId="2069205D" w14:textId="77777777"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Three key research topics for high priority LED product categories were 1) LED pricing (for both residential and non-residential products), 2) Non-residential baseline wattages (which inform the selection of appropriate wattage reduction ratios or wattage ranges), and 3) the ability of the currently used savings estimation methods to predict non-residential baselines (e.g., wattage reduction ratio and wattage ranges).</w:t>
      </w:r>
    </w:p>
    <w:p w14:paraId="7C0B4F9F" w14:textId="77777777" w:rsidR="00F84644" w:rsidRPr="00392C00" w:rsidRDefault="00F84644" w:rsidP="00F84644">
      <w:pPr>
        <w:tabs>
          <w:tab w:val="num" w:pos="720"/>
        </w:tabs>
        <w:rPr>
          <w:rFonts w:ascii="Arial" w:hAnsi="Arial" w:cs="Arial"/>
          <w:sz w:val="20"/>
          <w:szCs w:val="20"/>
        </w:rPr>
      </w:pPr>
    </w:p>
    <w:p w14:paraId="58FA7DAC" w14:textId="77777777"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Price data was collected through web-scraping, market-actor surveys of contractors, distributors, and commercial end-users, and through in-depth interviews with manufacturers and retailers. The study developed price estimates that were current for 2015, and it also looked at factors that affect pricing and how often workpapers need to be updated to include most current pricing.</w:t>
      </w:r>
    </w:p>
    <w:p w14:paraId="1CB41384" w14:textId="77777777" w:rsidR="00F84644" w:rsidRPr="00392C00" w:rsidRDefault="00F84644" w:rsidP="00F84644">
      <w:pPr>
        <w:tabs>
          <w:tab w:val="num" w:pos="720"/>
        </w:tabs>
        <w:rPr>
          <w:rFonts w:ascii="Arial" w:hAnsi="Arial" w:cs="Arial"/>
          <w:sz w:val="20"/>
          <w:szCs w:val="20"/>
        </w:rPr>
      </w:pPr>
    </w:p>
    <w:p w14:paraId="60EDDDCC" w14:textId="49413255" w:rsidR="00F84644" w:rsidRPr="00392C00" w:rsidRDefault="00F84644" w:rsidP="00A476DC">
      <w:pPr>
        <w:autoSpaceDE w:val="0"/>
        <w:autoSpaceDN w:val="0"/>
        <w:adjustRightInd w:val="0"/>
        <w:rPr>
          <w:rFonts w:ascii="Arial" w:hAnsi="Arial" w:cs="Arial"/>
          <w:sz w:val="20"/>
          <w:szCs w:val="20"/>
        </w:rPr>
      </w:pPr>
      <w:r w:rsidRPr="00392C00">
        <w:rPr>
          <w:rFonts w:ascii="Arial" w:hAnsi="Arial" w:cs="Arial"/>
          <w:sz w:val="20"/>
          <w:szCs w:val="20"/>
        </w:rPr>
        <w:t>The 2015 study found higher annual percentage price declines for LED products which have since slowed down as shown in the 2018 study. While annual decreases for LED luminaires were found to be 20% per year from 2015-208, they are now expected to be 9% per year from 2017-2020</w:t>
      </w:r>
      <w:r w:rsidR="0064565E">
        <w:rPr>
          <w:rFonts w:ascii="Arial" w:hAnsi="Arial" w:cs="Arial"/>
          <w:sz w:val="20"/>
          <w:szCs w:val="20"/>
        </w:rPr>
        <w:t>,</w:t>
      </w:r>
      <w:r w:rsidRPr="00392C00">
        <w:rPr>
          <w:rFonts w:ascii="Arial" w:hAnsi="Arial" w:cs="Arial"/>
          <w:sz w:val="20"/>
          <w:szCs w:val="20"/>
        </w:rPr>
        <w:t xml:space="preserve"> decreasing to 8% per year from 2020-2022 on average across all product categories</w:t>
      </w:r>
      <w:r w:rsidR="0064565E">
        <w:rPr>
          <w:rFonts w:ascii="Arial" w:hAnsi="Arial" w:cs="Arial"/>
          <w:sz w:val="20"/>
          <w:szCs w:val="20"/>
        </w:rPr>
        <w:t>.</w:t>
      </w:r>
      <w:r w:rsidRPr="00392C00">
        <w:rPr>
          <w:rFonts w:ascii="Arial" w:hAnsi="Arial" w:cs="Arial"/>
          <w:sz w:val="20"/>
          <w:szCs w:val="20"/>
        </w:rPr>
        <w:t xml:space="preserve"> However, accuracy of these price projections may be limited due to the small dataset. </w:t>
      </w:r>
      <w:r w:rsidR="00A476DC">
        <w:rPr>
          <w:rFonts w:ascii="Arial" w:hAnsi="Arial" w:cs="Arial"/>
          <w:sz w:val="20"/>
          <w:szCs w:val="20"/>
        </w:rPr>
        <w:t xml:space="preserve"> </w:t>
      </w:r>
      <w:r w:rsidRPr="00392C00">
        <w:rPr>
          <w:rFonts w:ascii="Arial" w:hAnsi="Arial" w:cs="Arial"/>
          <w:sz w:val="20"/>
          <w:szCs w:val="20"/>
        </w:rPr>
        <w:t>The study suggested price assumptions be updated annually using web-scraping until prices stabilize. This will help ensure projections of LED price remain useful to the IOUs. The study also found that regional price differences in California are negligible and so all IOUs can use the same cost data in workpapers.</w:t>
      </w:r>
    </w:p>
    <w:p w14:paraId="2062BAA5" w14:textId="77777777" w:rsidR="00F84644" w:rsidRPr="00392C00" w:rsidRDefault="00F84644" w:rsidP="00F84644">
      <w:pPr>
        <w:tabs>
          <w:tab w:val="num" w:pos="720"/>
        </w:tabs>
        <w:rPr>
          <w:rFonts w:ascii="Arial" w:hAnsi="Arial" w:cs="Arial"/>
          <w:sz w:val="20"/>
          <w:szCs w:val="20"/>
        </w:rPr>
      </w:pPr>
    </w:p>
    <w:p w14:paraId="069F1620" w14:textId="77777777" w:rsidR="00F84644" w:rsidRDefault="00F84644" w:rsidP="00F84644">
      <w:pPr>
        <w:tabs>
          <w:tab w:val="num" w:pos="720"/>
        </w:tabs>
        <w:rPr>
          <w:rFonts w:ascii="Arial" w:hAnsi="Arial" w:cs="Arial"/>
          <w:sz w:val="20"/>
          <w:szCs w:val="20"/>
        </w:rPr>
      </w:pPr>
      <w:r w:rsidRPr="00392C00">
        <w:rPr>
          <w:rFonts w:ascii="Arial" w:hAnsi="Arial" w:cs="Arial"/>
          <w:sz w:val="20"/>
          <w:szCs w:val="20"/>
        </w:rPr>
        <w:t xml:space="preserve">In terms of factors that influence the price of luminaires, no one factor was found to significantly affect pricing, but there were many: efficacy, lumens, watts, CRI, lifetime. This analysis was repeated in the 2018 pricing study and correlation factors were assigned and lumen output/wattage was determined to be the greatest influence on price. IOU 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  </w:t>
      </w:r>
    </w:p>
    <w:p w14:paraId="2020765C" w14:textId="77777777" w:rsidR="00F84644" w:rsidRDefault="00F84644" w:rsidP="00F84644">
      <w:pPr>
        <w:tabs>
          <w:tab w:val="num" w:pos="720"/>
        </w:tabs>
        <w:rPr>
          <w:rFonts w:ascii="Arial" w:hAnsi="Arial" w:cs="Arial"/>
          <w:sz w:val="20"/>
          <w:szCs w:val="20"/>
        </w:rPr>
      </w:pPr>
    </w:p>
    <w:p w14:paraId="18696BC2" w14:textId="77777777" w:rsidR="00F84644" w:rsidRPr="00392C00" w:rsidRDefault="00F84644" w:rsidP="00F84644">
      <w:pPr>
        <w:tabs>
          <w:tab w:val="num" w:pos="720"/>
        </w:tabs>
        <w:rPr>
          <w:rFonts w:ascii="Arial" w:hAnsi="Arial" w:cs="Arial"/>
          <w:sz w:val="20"/>
          <w:szCs w:val="20"/>
        </w:rPr>
      </w:pPr>
      <w:r w:rsidRPr="00BF592C">
        <w:rPr>
          <w:rFonts w:ascii="Arial" w:hAnsi="Arial" w:cs="Arial"/>
          <w:sz w:val="20"/>
        </w:rPr>
        <w:t>The projected LED price decline is expected to have a significant impact on LED adoption in California. The forecasted installed stock penetration of LEDs into the hig</w:t>
      </w:r>
      <w:r>
        <w:rPr>
          <w:rFonts w:ascii="Arial" w:hAnsi="Arial" w:cs="Arial"/>
          <w:sz w:val="20"/>
        </w:rPr>
        <w:t>h</w:t>
      </w:r>
      <w:r w:rsidRPr="00BF592C">
        <w:rPr>
          <w:rFonts w:ascii="Arial" w:hAnsi="Arial" w:cs="Arial"/>
          <w:sz w:val="20"/>
        </w:rPr>
        <w:t xml:space="preserve">bay/lowbay applications is expected to increase from 3.4% in 2015 to 17% in 2018, and then increase to 34% in 2020. </w:t>
      </w:r>
      <w:r w:rsidRPr="00392C00">
        <w:rPr>
          <w:rFonts w:ascii="Arial" w:hAnsi="Arial" w:cs="Arial"/>
          <w:sz w:val="20"/>
          <w:szCs w:val="20"/>
        </w:rPr>
        <w:t>IOU Programs can help accelerate this adoption curve and encourage the adoption of higher and highest efficiency products.</w:t>
      </w:r>
    </w:p>
    <w:p w14:paraId="1F57BE21" w14:textId="77777777" w:rsidR="00F84644" w:rsidRPr="00392C00" w:rsidRDefault="00F84644" w:rsidP="00F84644">
      <w:pPr>
        <w:tabs>
          <w:tab w:val="num" w:pos="720"/>
        </w:tabs>
        <w:rPr>
          <w:rFonts w:ascii="Arial" w:hAnsi="Arial" w:cs="Arial"/>
          <w:sz w:val="20"/>
          <w:szCs w:val="20"/>
        </w:rPr>
      </w:pPr>
    </w:p>
    <w:p w14:paraId="0425CADD" w14:textId="77777777" w:rsidR="00F84644" w:rsidRDefault="00F84644" w:rsidP="00F84644">
      <w:pPr>
        <w:tabs>
          <w:tab w:val="num" w:pos="720"/>
        </w:tabs>
        <w:rPr>
          <w:rFonts w:ascii="Arial" w:hAnsi="Arial" w:cs="Arial"/>
          <w:sz w:val="20"/>
          <w:szCs w:val="20"/>
        </w:rPr>
      </w:pPr>
      <w:r w:rsidRPr="00392C00">
        <w:rPr>
          <w:rFonts w:ascii="Arial" w:hAnsi="Arial" w:cs="Arial"/>
          <w:sz w:val="20"/>
          <w:szCs w:val="20"/>
        </w:rPr>
        <w:t>Market actors said that lumen equivalence was the single most important factor when selecting an LED. End users also considered light color and wattage equivalence when selecting an LED fixture. It will be important to research and understand how customers perceive lumen equivalence in LED fixtures and if there is bin jumping similar to what reportedly occurs with LED lamps – when market actors choose an LED that does not align with its rated wattage or lumen equivalent. This could have implications for measure structure and how lumen equivalency is defined between base case and measure case in future workpaper updates.</w:t>
      </w:r>
    </w:p>
    <w:p w14:paraId="38E42FB7" w14:textId="77777777" w:rsidR="00F84644" w:rsidRDefault="00F84644" w:rsidP="00F84644">
      <w:pPr>
        <w:tabs>
          <w:tab w:val="num" w:pos="720"/>
        </w:tabs>
        <w:rPr>
          <w:rFonts w:ascii="Arial" w:hAnsi="Arial" w:cs="Arial"/>
          <w:sz w:val="20"/>
          <w:szCs w:val="20"/>
        </w:rPr>
      </w:pPr>
    </w:p>
    <w:p w14:paraId="2507587F" w14:textId="77777777"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When Navigant considered the incidence of early retirement, the results showed that the majority of contractors and end users indicated that they are more likely to replace equipment before the end of useful life with LEDs. This suggests that LED decision making is unique and warrants additional research on ER and ROB baselines. The IOUs are considering incorporating early retirement measures into future workpaper updates to capture the additional energy savings potential in the market.</w:t>
      </w:r>
    </w:p>
    <w:p w14:paraId="25DAD1E3" w14:textId="77777777" w:rsidR="00F84644" w:rsidRPr="00392C00" w:rsidRDefault="00F84644" w:rsidP="00F84644">
      <w:pPr>
        <w:rPr>
          <w:rFonts w:ascii="Arial" w:hAnsi="Arial" w:cs="Arial"/>
          <w:sz w:val="20"/>
          <w:szCs w:val="20"/>
          <w:highlight w:val="yellow"/>
        </w:rPr>
      </w:pPr>
    </w:p>
    <w:p w14:paraId="56B2AB75" w14:textId="77777777" w:rsidR="00F84644" w:rsidRPr="00392C00" w:rsidRDefault="00F84644" w:rsidP="00F84644">
      <w:pPr>
        <w:keepNext/>
        <w:rPr>
          <w:rFonts w:ascii="Arial" w:hAnsi="Arial" w:cs="Arial"/>
          <w:sz w:val="20"/>
          <w:szCs w:val="20"/>
        </w:rPr>
      </w:pPr>
      <w:r w:rsidRPr="00392C00">
        <w:rPr>
          <w:rFonts w:ascii="Arial" w:hAnsi="Arial" w:cs="Arial"/>
          <w:noProof/>
          <w:sz w:val="20"/>
          <w:szCs w:val="20"/>
        </w:rPr>
        <w:drawing>
          <wp:inline distT="0" distB="0" distL="0" distR="0" wp14:anchorId="56DDFE0C" wp14:editId="1D6806E0">
            <wp:extent cx="4278107" cy="2371060"/>
            <wp:effectExtent l="0" t="0" r="8255" b="0"/>
            <wp:docPr id="601821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78107" cy="2371060"/>
                    </a:xfrm>
                    <a:prstGeom prst="rect">
                      <a:avLst/>
                    </a:prstGeom>
                  </pic:spPr>
                </pic:pic>
              </a:graphicData>
            </a:graphic>
          </wp:inline>
        </w:drawing>
      </w:r>
    </w:p>
    <w:p w14:paraId="1F6897F9" w14:textId="77777777" w:rsidR="00F84644" w:rsidRDefault="00F84644" w:rsidP="00F84644">
      <w:pPr>
        <w:rPr>
          <w:rFonts w:ascii="Arial" w:hAnsi="Arial" w:cs="Arial"/>
          <w:b/>
          <w:sz w:val="20"/>
          <w:szCs w:val="20"/>
        </w:rPr>
      </w:pPr>
      <w:r w:rsidRPr="00392C00">
        <w:rPr>
          <w:rFonts w:ascii="Arial" w:hAnsi="Arial" w:cs="Arial"/>
          <w:b/>
          <w:sz w:val="20"/>
          <w:szCs w:val="20"/>
        </w:rPr>
        <w:t>Figure 2: Willingness to replace equipment with LEDs before end of useful life, relative to other replacements (Source: California LED Workpaper Update Study, Navigant, August 2015)</w:t>
      </w:r>
    </w:p>
    <w:p w14:paraId="0A9AF796" w14:textId="77777777" w:rsidR="00F84644" w:rsidRDefault="00F84644" w:rsidP="00F84644">
      <w:pPr>
        <w:rPr>
          <w:rFonts w:ascii="Arial" w:hAnsi="Arial" w:cs="Arial"/>
          <w:b/>
          <w:sz w:val="20"/>
          <w:szCs w:val="20"/>
        </w:rPr>
      </w:pPr>
    </w:p>
    <w:p w14:paraId="7618FDF2" w14:textId="77777777" w:rsidR="00F84644" w:rsidRDefault="00F84644" w:rsidP="00F84644">
      <w:pPr>
        <w:tabs>
          <w:tab w:val="num" w:pos="720"/>
        </w:tabs>
        <w:rPr>
          <w:rFonts w:ascii="Arial" w:hAnsi="Arial"/>
          <w:sz w:val="20"/>
        </w:rPr>
      </w:pPr>
      <w:r w:rsidRPr="00BF592C">
        <w:rPr>
          <w:rFonts w:ascii="Arial" w:hAnsi="Arial" w:cs="Arial"/>
          <w:sz w:val="20"/>
        </w:rPr>
        <w:t>Early retirement baseline according to contractors indicates closer to 50% for HID technology and 50% for T8 and T5 combined.</w:t>
      </w:r>
    </w:p>
    <w:p w14:paraId="37D31F8E" w14:textId="77777777" w:rsidR="00F84644" w:rsidRDefault="00F84644" w:rsidP="00F84644">
      <w:pPr>
        <w:tabs>
          <w:tab w:val="num" w:pos="720"/>
        </w:tabs>
        <w:rPr>
          <w:rFonts w:ascii="Arial" w:hAnsi="Arial" w:cs="Arial"/>
          <w:sz w:val="20"/>
          <w:highlight w:val="yellow"/>
        </w:rPr>
      </w:pPr>
    </w:p>
    <w:p w14:paraId="396E60FB" w14:textId="77777777" w:rsidR="00F84644" w:rsidRDefault="00F84644" w:rsidP="00F84644">
      <w:pPr>
        <w:rPr>
          <w:highlight w:val="yellow"/>
        </w:rPr>
      </w:pPr>
      <w:r>
        <w:rPr>
          <w:noProof/>
        </w:rPr>
        <w:lastRenderedPageBreak/>
        <w:drawing>
          <wp:inline distT="0" distB="0" distL="0" distR="0" wp14:anchorId="3ADC8429" wp14:editId="38C6E8FE">
            <wp:extent cx="3728483" cy="2796363"/>
            <wp:effectExtent l="0" t="0" r="5715" b="4445"/>
            <wp:docPr id="2" name="Picture 2" descr="cid:image010.png@01D3C6E9.9D9F2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10.png@01D3C6E9.9D9F2A9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3738529" cy="2803897"/>
                    </a:xfrm>
                    <a:prstGeom prst="rect">
                      <a:avLst/>
                    </a:prstGeom>
                    <a:noFill/>
                    <a:ln>
                      <a:noFill/>
                    </a:ln>
                  </pic:spPr>
                </pic:pic>
              </a:graphicData>
            </a:graphic>
          </wp:inline>
        </w:drawing>
      </w:r>
    </w:p>
    <w:p w14:paraId="5A8B4138" w14:textId="77777777" w:rsidR="00F84644" w:rsidRPr="00392C00" w:rsidRDefault="00F84644" w:rsidP="00F84644">
      <w:pPr>
        <w:rPr>
          <w:rFonts w:ascii="Arial" w:hAnsi="Arial" w:cs="Arial"/>
          <w:b/>
          <w:sz w:val="20"/>
          <w:szCs w:val="20"/>
        </w:rPr>
      </w:pPr>
    </w:p>
    <w:p w14:paraId="212B019C" w14:textId="46C5F1A1" w:rsidR="002B3B1A" w:rsidRPr="00A476DC" w:rsidRDefault="002B3B1A" w:rsidP="00A476DC">
      <w:pPr>
        <w:pStyle w:val="Caption"/>
        <w:rPr>
          <w:rFonts w:ascii="Arial" w:hAnsi="Arial" w:cs="Arial"/>
        </w:rPr>
      </w:pPr>
      <w:r w:rsidRPr="00A476DC">
        <w:rPr>
          <w:rFonts w:ascii="Arial" w:hAnsi="Arial" w:cs="Arial"/>
        </w:rPr>
        <w:t>Figure 3: Early Retirement Baseline Technology Mix for LEDs as reported by Contractors</w:t>
      </w:r>
    </w:p>
    <w:p w14:paraId="2B51D87D" w14:textId="448DBEC1" w:rsidR="00F84644" w:rsidRPr="00392C00" w:rsidRDefault="00F84644" w:rsidP="00F84644">
      <w:pPr>
        <w:rPr>
          <w:rFonts w:ascii="Arial" w:hAnsi="Arial" w:cs="Arial"/>
          <w:sz w:val="20"/>
          <w:szCs w:val="20"/>
        </w:rPr>
      </w:pPr>
    </w:p>
    <w:p w14:paraId="2E6161BE" w14:textId="448DBEC1" w:rsidR="0064565E" w:rsidRDefault="00F84644" w:rsidP="00F84644">
      <w:pPr>
        <w:rPr>
          <w:rFonts w:ascii="Arial" w:hAnsi="Arial" w:cs="Arial"/>
          <w:sz w:val="20"/>
          <w:szCs w:val="20"/>
        </w:rPr>
      </w:pPr>
      <w:r w:rsidRPr="00392C00">
        <w:rPr>
          <w:rFonts w:ascii="Arial" w:hAnsi="Arial" w:cs="Arial"/>
          <w:sz w:val="20"/>
          <w:szCs w:val="20"/>
        </w:rPr>
        <w:t>Survey data and specifications on existing fixtures also indicate that LEDs replacing metal halides and linear fluorescents are not near the upper end of the LED wattage ranges in the May</w:t>
      </w:r>
      <w:r w:rsidR="0064565E">
        <w:t xml:space="preserve"> 30,</w:t>
      </w:r>
      <w:r w:rsidRPr="00392C00">
        <w:rPr>
          <w:rFonts w:ascii="Arial" w:hAnsi="Arial" w:cs="Arial"/>
          <w:sz w:val="20"/>
          <w:szCs w:val="20"/>
        </w:rPr>
        <w:t xml:space="preserve"> 2014 </w:t>
      </w:r>
      <w:r w:rsidR="0064565E">
        <w:t xml:space="preserve">lighting </w:t>
      </w:r>
      <w:r w:rsidRPr="00392C00">
        <w:rPr>
          <w:rFonts w:ascii="Arial" w:hAnsi="Arial" w:cs="Arial"/>
          <w:sz w:val="20"/>
          <w:szCs w:val="20"/>
        </w:rPr>
        <w:t xml:space="preserve">disposition. The Navigant study results and IOU program data analysis point out that the majority of program activity happens in the lower wattage ranges for PG&amp;E and it would be advisable for IOUs to break these measure codes into narrower wattage ranges to more accurately capture savings. </w:t>
      </w:r>
      <w:r w:rsidRPr="0038775F">
        <w:rPr>
          <w:rFonts w:ascii="Arial" w:hAnsi="Arial" w:cs="Arial"/>
          <w:sz w:val="20"/>
          <w:szCs w:val="20"/>
        </w:rPr>
        <w:t xml:space="preserve">The three IOUs formed a statewide working group in February 2016 to address the Navigant recommendation. The analysis and IOU recommendations were presented to the Ex-Ante Review (EAR) team in July 2016. The final presentation was made to California Technical Form and the EAR team in October of 2016. This proposed methodology was submitted in June 2017 for an early review by the Ex-Ante Review team.  </w:t>
      </w:r>
    </w:p>
    <w:p w14:paraId="4C6F12C2" w14:textId="448DBEC1" w:rsidR="0064565E" w:rsidRDefault="0064565E" w:rsidP="00F84644">
      <w:pPr>
        <w:rPr>
          <w:rFonts w:ascii="Arial" w:hAnsi="Arial" w:cs="Arial"/>
          <w:sz w:val="20"/>
          <w:szCs w:val="20"/>
        </w:rPr>
      </w:pPr>
    </w:p>
    <w:p w14:paraId="3D5D953F" w14:textId="74C03FA6" w:rsidR="00F84644" w:rsidRPr="00392C00" w:rsidRDefault="00F84644" w:rsidP="00F84644">
      <w:pPr>
        <w:rPr>
          <w:rFonts w:ascii="Arial" w:hAnsi="Arial" w:cs="Arial"/>
          <w:sz w:val="20"/>
          <w:szCs w:val="20"/>
        </w:rPr>
      </w:pPr>
      <w:r>
        <w:rPr>
          <w:rFonts w:ascii="Arial" w:hAnsi="Arial" w:cs="Arial"/>
          <w:sz w:val="20"/>
          <w:szCs w:val="20"/>
        </w:rPr>
        <w:t>Upon further guidance from CS,</w:t>
      </w:r>
      <w:r w:rsidR="0064565E">
        <w:rPr>
          <w:rFonts w:ascii="Arial" w:hAnsi="Arial" w:cs="Arial"/>
          <w:sz w:val="20"/>
          <w:szCs w:val="20"/>
        </w:rPr>
        <w:t xml:space="preserve"> the</w:t>
      </w:r>
      <w:r>
        <w:rPr>
          <w:rFonts w:ascii="Arial" w:hAnsi="Arial" w:cs="Arial"/>
          <w:sz w:val="20"/>
          <w:szCs w:val="20"/>
        </w:rPr>
        <w:t xml:space="preserve"> </w:t>
      </w:r>
      <w:r>
        <w:rPr>
          <w:rFonts w:ascii="Arial" w:hAnsi="Arial" w:cs="Arial"/>
          <w:sz w:val="20"/>
        </w:rPr>
        <w:t xml:space="preserve">IOUs will need to collect program data to validate this savings calculation methodology. </w:t>
      </w:r>
      <w:r w:rsidR="0064565E" w:rsidRPr="0064565E">
        <w:rPr>
          <w:rFonts w:ascii="Arial" w:hAnsi="Arial" w:cs="Arial"/>
          <w:sz w:val="20"/>
        </w:rPr>
        <w:t xml:space="preserve">This revision of the workpaper breaks the measure codes into </w:t>
      </w:r>
      <w:r w:rsidR="0064565E">
        <w:rPr>
          <w:rFonts w:ascii="Arial" w:hAnsi="Arial" w:cs="Arial"/>
          <w:sz w:val="20"/>
        </w:rPr>
        <w:t>narrower</w:t>
      </w:r>
      <w:r w:rsidR="0064565E" w:rsidRPr="0064565E">
        <w:rPr>
          <w:rFonts w:ascii="Arial" w:hAnsi="Arial" w:cs="Arial"/>
          <w:sz w:val="20"/>
        </w:rPr>
        <w:t xml:space="preserve"> wattage ranges to more accurately capture savings and going forward will also evaluate program data to better understand what wattage products customers are buying. This program information can then be used to more accurately calculate energy savings.</w:t>
      </w:r>
      <w:r w:rsidR="0064565E">
        <w:rPr>
          <w:rFonts w:ascii="Arial" w:hAnsi="Arial" w:cs="Arial"/>
          <w:sz w:val="20"/>
        </w:rPr>
        <w:t xml:space="preserve"> </w:t>
      </w:r>
      <w:r w:rsidRPr="002676A5">
        <w:rPr>
          <w:rFonts w:ascii="Arial" w:hAnsi="Arial" w:cs="Arial"/>
          <w:sz w:val="20"/>
          <w:szCs w:val="20"/>
        </w:rPr>
        <w:t xml:space="preserve">Section </w:t>
      </w:r>
      <w:r w:rsidRPr="1AA8F051">
        <w:fldChar w:fldCharType="begin"/>
      </w:r>
      <w:r w:rsidRPr="00F84644">
        <w:rPr>
          <w:rFonts w:ascii="Arial" w:hAnsi="Arial" w:cs="Arial"/>
          <w:b/>
          <w:sz w:val="20"/>
          <w:szCs w:val="20"/>
        </w:rPr>
        <w:instrText xml:space="preserve"> REF _Ref511172416 \h  \* MERGEFORMAT </w:instrText>
      </w:r>
      <w:r w:rsidRPr="1AA8F051">
        <w:rPr>
          <w:rFonts w:ascii="Arial" w:hAnsi="Arial" w:cs="Arial"/>
          <w:b/>
          <w:sz w:val="20"/>
          <w:szCs w:val="20"/>
        </w:rPr>
        <w:fldChar w:fldCharType="separate"/>
      </w:r>
      <w:r w:rsidRPr="00F84644">
        <w:rPr>
          <w:rFonts w:ascii="Arial" w:hAnsi="Arial" w:cs="Arial"/>
          <w:b/>
          <w:sz w:val="20"/>
          <w:szCs w:val="20"/>
        </w:rPr>
        <w:t>1.6.3 Product ID Collection Process</w:t>
      </w:r>
      <w:r w:rsidRPr="1AA8F051">
        <w:fldChar w:fldCharType="end"/>
      </w:r>
      <w:r w:rsidRPr="002676A5">
        <w:rPr>
          <w:rFonts w:ascii="Arial" w:hAnsi="Arial" w:cs="Arial"/>
          <w:sz w:val="20"/>
          <w:szCs w:val="20"/>
        </w:rPr>
        <w:t xml:space="preserve"> </w:t>
      </w:r>
      <w:r>
        <w:rPr>
          <w:rFonts w:ascii="Arial" w:hAnsi="Arial" w:cs="Arial"/>
          <w:sz w:val="20"/>
          <w:szCs w:val="20"/>
        </w:rPr>
        <w:t xml:space="preserve">describes a data collection process to inform </w:t>
      </w:r>
      <w:r w:rsidRPr="002676A5">
        <w:rPr>
          <w:rFonts w:ascii="Arial" w:hAnsi="Arial" w:cs="Arial"/>
          <w:sz w:val="20"/>
          <w:szCs w:val="20"/>
        </w:rPr>
        <w:t>savings calculations in the future.</w:t>
      </w:r>
    </w:p>
    <w:p w14:paraId="3DF164C7" w14:textId="77777777" w:rsidR="00F84644" w:rsidRDefault="00F84644" w:rsidP="00F84644">
      <w:pPr>
        <w:pStyle w:val="Heading3"/>
        <w:rPr>
          <w:highlight w:val="yellow"/>
        </w:rPr>
      </w:pPr>
      <w:bookmarkStart w:id="83" w:name="_Toc511045278"/>
      <w:bookmarkStart w:id="84" w:name="_Toc511210588"/>
      <w:bookmarkStart w:id="85" w:name="_Toc511244888"/>
      <w:r w:rsidRPr="00BF592C">
        <w:t>1.5.</w:t>
      </w:r>
      <w:r>
        <w:t>4</w:t>
      </w:r>
      <w:r w:rsidRPr="00BF592C">
        <w:t xml:space="preserve"> LED Non-Residential Lighting Market Characterization, Navigant – In Progress</w:t>
      </w:r>
      <w:bookmarkEnd w:id="83"/>
      <w:bookmarkEnd w:id="84"/>
      <w:bookmarkEnd w:id="85"/>
    </w:p>
    <w:p w14:paraId="70B3EA7A" w14:textId="7975B713" w:rsidR="00F84644" w:rsidRPr="000D1C38" w:rsidRDefault="00F84644" w:rsidP="00F84644">
      <w:pPr>
        <w:rPr>
          <w:rFonts w:ascii="Arial" w:hAnsi="Arial"/>
          <w:sz w:val="20"/>
        </w:rPr>
      </w:pPr>
      <w:r w:rsidRPr="00680BA9">
        <w:rPr>
          <w:rFonts w:ascii="Arial" w:hAnsi="Arial"/>
          <w:sz w:val="20"/>
        </w:rPr>
        <w:t>This Statewide Non-Residential LED Market C</w:t>
      </w:r>
      <w:r w:rsidRPr="000D1C38">
        <w:rPr>
          <w:rFonts w:ascii="Arial" w:hAnsi="Arial"/>
          <w:sz w:val="20"/>
        </w:rPr>
        <w:t xml:space="preserve">haracterization Study being conducted by Navigant Consulting, Inc </w:t>
      </w:r>
      <w:r w:rsidR="0064565E">
        <w:rPr>
          <w:rFonts w:ascii="Arial" w:hAnsi="Arial"/>
          <w:sz w:val="20"/>
        </w:rPr>
        <w:t>was initially scoped</w:t>
      </w:r>
      <w:r w:rsidRPr="000D1C38">
        <w:rPr>
          <w:rFonts w:ascii="Arial" w:hAnsi="Arial"/>
          <w:sz w:val="20"/>
        </w:rPr>
        <w:t xml:space="preserve"> in response to a June 26, 2015 </w:t>
      </w:r>
      <w:r w:rsidR="0064565E" w:rsidRPr="0064565E">
        <w:rPr>
          <w:rFonts w:ascii="Arial" w:hAnsi="Arial"/>
          <w:sz w:val="20"/>
        </w:rPr>
        <w:t>workpaper disposition for PGECOLTG179 LED Ambient Commercial Fixtures and Retrofit Kits</w:t>
      </w:r>
      <w:r w:rsidRPr="000D1C38">
        <w:rPr>
          <w:rFonts w:ascii="Arial" w:hAnsi="Arial"/>
          <w:sz w:val="20"/>
        </w:rPr>
        <w:t>, seeking additional clarification on qualifying LED technologies for the IOUs. Its expected completion date is Q3 2018. In that decision, Commission Staff think it is unclear that the DLC QPL meets the requirements of incentivizing the top half of quality products in the non-residential lighting market. In that disposition, Commission Staff wrote the following:</w:t>
      </w:r>
    </w:p>
    <w:p w14:paraId="41372F66" w14:textId="77777777" w:rsidR="00F84644" w:rsidRPr="00680BA9" w:rsidRDefault="00F84644" w:rsidP="00F84644">
      <w:pPr>
        <w:rPr>
          <w:rFonts w:ascii="Arial" w:hAnsi="Arial" w:cs="Arial"/>
          <w:sz w:val="20"/>
          <w:szCs w:val="20"/>
        </w:rPr>
      </w:pPr>
    </w:p>
    <w:p w14:paraId="7D22373D" w14:textId="77777777" w:rsidR="00F84644" w:rsidRPr="00BF592C" w:rsidRDefault="00F84644" w:rsidP="00F84644">
      <w:pPr>
        <w:ind w:left="990" w:right="1170"/>
        <w:jc w:val="both"/>
        <w:rPr>
          <w:rFonts w:ascii="Arial" w:hAnsi="Arial" w:cs="Arial"/>
          <w:highlight w:val="yellow"/>
        </w:rPr>
      </w:pPr>
      <w:r w:rsidRPr="00BF592C">
        <w:rPr>
          <w:rFonts w:ascii="Arial" w:hAnsi="Arial" w:cs="Arial"/>
          <w:i/>
          <w:sz w:val="20"/>
        </w:rPr>
        <w:t xml:space="preserve">“However, the products covered by this work paper are not covered by the CEC standard and therefore must still be “products that are in the top half of quality on the market.” As added guidance along with the more general guidance provided by the Commission in the text of the Decision (at 79) that “Our goal, as in D.12-05-015, is to avoid offering incentives for lighting products that do not meet consumer expectations and result in a poor lighting experience, discouraging </w:t>
      </w:r>
      <w:r w:rsidRPr="00BF592C">
        <w:rPr>
          <w:rFonts w:ascii="Arial" w:hAnsi="Arial" w:cs="Arial"/>
          <w:i/>
          <w:sz w:val="20"/>
        </w:rPr>
        <w:lastRenderedPageBreak/>
        <w:t>customers from investing in energy efficient lighting in the future.” It is unclear that the DLC listed products meet this requirement. The work paper shall be revised to include the process utilized by the PAs that will ensure that products offered meet the direction from D.12-11-015.”</w:t>
      </w:r>
    </w:p>
    <w:p w14:paraId="24AE218A" w14:textId="77777777" w:rsidR="00F84644" w:rsidRPr="00BF592C" w:rsidRDefault="00F84644" w:rsidP="00F84644">
      <w:pPr>
        <w:rPr>
          <w:rFonts w:ascii="Arial" w:hAnsi="Arial" w:cs="Arial"/>
          <w:sz w:val="20"/>
        </w:rPr>
      </w:pPr>
    </w:p>
    <w:p w14:paraId="474960B5" w14:textId="77777777" w:rsidR="00F84644" w:rsidRDefault="00F84644" w:rsidP="00F84644">
      <w:pPr>
        <w:rPr>
          <w:rFonts w:ascii="Arial" w:hAnsi="Arial" w:cs="Arial"/>
          <w:sz w:val="20"/>
        </w:rPr>
      </w:pPr>
      <w:r w:rsidRPr="00BF592C">
        <w:rPr>
          <w:rFonts w:ascii="Arial" w:hAnsi="Arial" w:cs="Arial"/>
          <w:sz w:val="20"/>
        </w:rPr>
        <w:t>This market share study</w:t>
      </w:r>
      <w:r>
        <w:rPr>
          <w:rFonts w:ascii="Arial" w:hAnsi="Arial" w:cs="Arial"/>
          <w:sz w:val="20"/>
        </w:rPr>
        <w:t xml:space="preserve"> is</w:t>
      </w:r>
      <w:r w:rsidRPr="00BF592C">
        <w:rPr>
          <w:rFonts w:ascii="Arial" w:hAnsi="Arial" w:cs="Arial"/>
          <w:sz w:val="20"/>
        </w:rPr>
        <w:t xml:space="preserve"> an effort to determine the size of the non-residential LED market and the relative market share of products on the DLC QPL. The </w:t>
      </w:r>
      <w:r>
        <w:rPr>
          <w:rFonts w:ascii="Arial" w:hAnsi="Arial" w:cs="Arial"/>
          <w:sz w:val="20"/>
        </w:rPr>
        <w:t>study is</w:t>
      </w:r>
      <w:r w:rsidRPr="00BF592C">
        <w:rPr>
          <w:rFonts w:ascii="Arial" w:hAnsi="Arial" w:cs="Arial"/>
          <w:sz w:val="20"/>
        </w:rPr>
        <w:t xml:space="preserve"> a</w:t>
      </w:r>
      <w:r>
        <w:rPr>
          <w:rFonts w:ascii="Arial" w:hAnsi="Arial" w:cs="Arial"/>
          <w:sz w:val="20"/>
        </w:rPr>
        <w:t>ls</w:t>
      </w:r>
      <w:r w:rsidRPr="00BF592C">
        <w:rPr>
          <w:rFonts w:ascii="Arial" w:hAnsi="Arial" w:cs="Arial"/>
          <w:sz w:val="20"/>
        </w:rPr>
        <w:t>o develop</w:t>
      </w:r>
      <w:r>
        <w:rPr>
          <w:rFonts w:ascii="Arial" w:hAnsi="Arial" w:cs="Arial"/>
          <w:sz w:val="20"/>
        </w:rPr>
        <w:t>ing</w:t>
      </w:r>
      <w:r w:rsidRPr="00BF592C">
        <w:rPr>
          <w:rFonts w:ascii="Arial" w:hAnsi="Arial" w:cs="Arial"/>
          <w:sz w:val="20"/>
        </w:rPr>
        <w:t xml:space="preserve"> a proposed definition of “quality” for non</w:t>
      </w:r>
      <w:r>
        <w:rPr>
          <w:rFonts w:ascii="Arial" w:hAnsi="Arial" w:cs="Arial"/>
          <w:sz w:val="20"/>
        </w:rPr>
        <w:t>-residential lighting and will work</w:t>
      </w:r>
      <w:r w:rsidRPr="00BF592C">
        <w:rPr>
          <w:rFonts w:ascii="Arial" w:hAnsi="Arial" w:cs="Arial"/>
          <w:sz w:val="20"/>
        </w:rPr>
        <w:t xml:space="preserve"> with Commission staff to finalize this quality definition for future use in PA’s lighting portfolio.</w:t>
      </w:r>
    </w:p>
    <w:p w14:paraId="650FD4B8" w14:textId="77777777" w:rsidR="00F84644" w:rsidRDefault="00F84644" w:rsidP="00F84644">
      <w:pPr>
        <w:rPr>
          <w:rFonts w:ascii="Arial" w:hAnsi="Arial" w:cs="Arial"/>
          <w:sz w:val="20"/>
        </w:rPr>
      </w:pPr>
    </w:p>
    <w:p w14:paraId="2B60964C" w14:textId="77777777" w:rsidR="00F84644" w:rsidRPr="006F1807" w:rsidRDefault="00F84644" w:rsidP="00F84644">
      <w:pPr>
        <w:rPr>
          <w:rFonts w:ascii="Arial" w:hAnsi="Arial" w:cs="Arial"/>
        </w:rPr>
      </w:pPr>
      <w:r w:rsidRPr="006F1807">
        <w:rPr>
          <w:rFonts w:ascii="Arial" w:hAnsi="Arial" w:cs="Arial"/>
          <w:sz w:val="20"/>
        </w:rPr>
        <w:t>This study has been expanded to include distributor surveys to determine the standard practice baseline for interior LED categories. These surveys will ask distributors about their current sales/purchase mix by lighting technology, including LEDs. They will ask about the last 12 months and the projected sales mix by lighting technology for each of the next five years. The sales data is being collected separately for each interior product category and also attempts to collect efficacy data within LED products being sold.</w:t>
      </w:r>
    </w:p>
    <w:p w14:paraId="3372BA53" w14:textId="77777777" w:rsidR="00F84644" w:rsidRDefault="00F84644" w:rsidP="00F84644">
      <w:pPr>
        <w:rPr>
          <w:rFonts w:ascii="Arial" w:hAnsi="Arial" w:cs="Arial"/>
          <w:sz w:val="20"/>
        </w:rPr>
      </w:pPr>
    </w:p>
    <w:p w14:paraId="5362DE63" w14:textId="77777777" w:rsidR="00F84644" w:rsidRPr="00BF592C" w:rsidRDefault="00F84644" w:rsidP="00F84644">
      <w:pPr>
        <w:rPr>
          <w:rFonts w:ascii="Arial" w:hAnsi="Arial" w:cs="Arial"/>
          <w:highlight w:val="yellow"/>
        </w:rPr>
      </w:pPr>
      <w:r>
        <w:rPr>
          <w:rFonts w:ascii="Arial" w:hAnsi="Arial" w:cs="Arial"/>
          <w:sz w:val="20"/>
        </w:rPr>
        <w:t>Until this study is completed, IOUs will use the DOE Lighting Facts database as a proxy for representing the LED market.</w:t>
      </w:r>
    </w:p>
    <w:p w14:paraId="78C30A8A" w14:textId="1C55C7B0" w:rsidR="009E2964" w:rsidRPr="00F9673E" w:rsidRDefault="00F9673E" w:rsidP="00F9673E">
      <w:pPr>
        <w:pStyle w:val="Heading3"/>
      </w:pPr>
      <w:bookmarkStart w:id="86" w:name="_Toc511038037"/>
      <w:bookmarkStart w:id="87" w:name="_Toc511244889"/>
      <w:r w:rsidRPr="00F9673E">
        <w:t>1.5.</w:t>
      </w:r>
      <w:r w:rsidR="001E3DA1">
        <w:t>5</w:t>
      </w:r>
      <w:r w:rsidRPr="00F9673E">
        <w:t xml:space="preserve"> </w:t>
      </w:r>
      <w:r w:rsidR="001E37BA" w:rsidRPr="00F9673E">
        <w:t>CALiPER Application Summary Report 1</w:t>
      </w:r>
      <w:r w:rsidR="009D43A6" w:rsidRPr="00F9673E">
        <w:t>3</w:t>
      </w:r>
      <w:r w:rsidR="00E77B0E" w:rsidRPr="1AA8F051">
        <w:fldChar w:fldCharType="begin"/>
      </w:r>
      <w:r w:rsidR="00E77B0E" w:rsidRPr="00E77B0E">
        <w:rPr>
          <w:vertAlign w:val="superscript"/>
        </w:rPr>
        <w:instrText xml:space="preserve"> NOTEREF _Ref510988975 \h </w:instrText>
      </w:r>
      <w:r w:rsidR="00E77B0E">
        <w:rPr>
          <w:vertAlign w:val="superscript"/>
        </w:rPr>
        <w:instrText xml:space="preserve"> \* MERGEFORMAT </w:instrText>
      </w:r>
      <w:r w:rsidR="00E77B0E" w:rsidRPr="1AA8F051">
        <w:rPr>
          <w:vertAlign w:val="superscript"/>
        </w:rPr>
        <w:fldChar w:fldCharType="separate"/>
      </w:r>
      <w:r w:rsidR="00E77B0E" w:rsidRPr="00E77B0E">
        <w:rPr>
          <w:vertAlign w:val="superscript"/>
        </w:rPr>
        <w:t>5</w:t>
      </w:r>
      <w:r w:rsidR="00E77B0E" w:rsidRPr="1AA8F051">
        <w:fldChar w:fldCharType="end"/>
      </w:r>
      <w:r w:rsidR="001E37BA" w:rsidRPr="00F9673E">
        <w:t>:</w:t>
      </w:r>
      <w:bookmarkEnd w:id="86"/>
      <w:bookmarkEnd w:id="87"/>
    </w:p>
    <w:p w14:paraId="3CB73917" w14:textId="65B78841" w:rsidR="00C37145" w:rsidRPr="00F9673E" w:rsidRDefault="00B00818" w:rsidP="00A35CF8">
      <w:pPr>
        <w:rPr>
          <w:rFonts w:ascii="Arial" w:hAnsi="Arial"/>
          <w:color w:val="000000" w:themeColor="text1"/>
          <w:sz w:val="20"/>
        </w:rPr>
      </w:pPr>
      <w:r w:rsidRPr="00F9673E">
        <w:rPr>
          <w:rFonts w:ascii="Arial" w:hAnsi="Arial"/>
          <w:color w:val="000000" w:themeColor="text1"/>
          <w:sz w:val="20"/>
        </w:rPr>
        <w:t xml:space="preserve">A few of the conclusions that CALiPER reported </w:t>
      </w:r>
      <w:r w:rsidR="00C37145" w:rsidRPr="00F9673E">
        <w:rPr>
          <w:rFonts w:ascii="Arial" w:hAnsi="Arial"/>
          <w:color w:val="000000" w:themeColor="text1"/>
          <w:sz w:val="20"/>
        </w:rPr>
        <w:t>in the most recent</w:t>
      </w:r>
      <w:r w:rsidR="0055744A" w:rsidRPr="00F9673E">
        <w:rPr>
          <w:rFonts w:ascii="Arial" w:hAnsi="Arial"/>
          <w:color w:val="000000" w:themeColor="text1"/>
          <w:sz w:val="20"/>
        </w:rPr>
        <w:t xml:space="preserve"> application summary report (#13</w:t>
      </w:r>
      <w:r w:rsidR="00C37145" w:rsidRPr="00F9673E">
        <w:rPr>
          <w:rFonts w:ascii="Arial" w:hAnsi="Arial"/>
          <w:color w:val="000000" w:themeColor="text1"/>
          <w:sz w:val="20"/>
        </w:rPr>
        <w:t>) from tests of 5 LED high-bay fixtures</w:t>
      </w:r>
      <w:r w:rsidRPr="00F9673E">
        <w:rPr>
          <w:rFonts w:ascii="Arial" w:hAnsi="Arial"/>
          <w:color w:val="000000" w:themeColor="text1"/>
          <w:sz w:val="20"/>
        </w:rPr>
        <w:t>:</w:t>
      </w:r>
    </w:p>
    <w:p w14:paraId="5C160C48" w14:textId="77777777" w:rsidR="00391C77" w:rsidRPr="00F9673E" w:rsidRDefault="003F7A9C" w:rsidP="006666F0">
      <w:pPr>
        <w:numPr>
          <w:ilvl w:val="0"/>
          <w:numId w:val="2"/>
        </w:numPr>
        <w:rPr>
          <w:rFonts w:ascii="Arial" w:hAnsi="Arial"/>
          <w:color w:val="000000" w:themeColor="text1"/>
          <w:sz w:val="20"/>
        </w:rPr>
      </w:pPr>
      <w:r w:rsidRPr="00F9673E">
        <w:rPr>
          <w:rFonts w:ascii="Arial" w:hAnsi="Arial"/>
          <w:color w:val="000000" w:themeColor="text1"/>
          <w:sz w:val="20"/>
        </w:rPr>
        <w:t>Two products tested significantly outperformed the benchmark products in terms of light output and efficacy</w:t>
      </w:r>
    </w:p>
    <w:p w14:paraId="7D819A0A" w14:textId="64BB1D4C" w:rsidR="000E73AD" w:rsidRPr="00F9673E" w:rsidRDefault="003F7A9C" w:rsidP="006666F0">
      <w:pPr>
        <w:numPr>
          <w:ilvl w:val="0"/>
          <w:numId w:val="2"/>
        </w:numPr>
        <w:rPr>
          <w:rFonts w:ascii="Arial" w:hAnsi="Arial"/>
          <w:color w:val="000000" w:themeColor="text1"/>
          <w:sz w:val="20"/>
        </w:rPr>
      </w:pPr>
      <w:r w:rsidRPr="00F9673E">
        <w:rPr>
          <w:rFonts w:ascii="Arial" w:hAnsi="Arial"/>
          <w:color w:val="000000" w:themeColor="text1"/>
          <w:sz w:val="20"/>
        </w:rPr>
        <w:t>Three products performed as claimed in product literature</w:t>
      </w:r>
      <w:bookmarkStart w:id="88" w:name="_Ref510121468"/>
    </w:p>
    <w:p w14:paraId="55AA1413" w14:textId="24235CC8" w:rsidR="002B40BA" w:rsidRPr="00F9673E" w:rsidRDefault="002B40BA" w:rsidP="002B40BA">
      <w:pPr>
        <w:pStyle w:val="Heading2"/>
      </w:pPr>
      <w:bookmarkStart w:id="89" w:name="_Toc511038038"/>
      <w:bookmarkStart w:id="90" w:name="_Toc511244890"/>
      <w:r w:rsidRPr="00F9673E">
        <w:t>1.6 Data Quality and Future Data Needs</w:t>
      </w:r>
      <w:bookmarkEnd w:id="88"/>
      <w:bookmarkEnd w:id="89"/>
      <w:bookmarkEnd w:id="90"/>
    </w:p>
    <w:p w14:paraId="18110B8B" w14:textId="77777777" w:rsidR="00E332F9" w:rsidRDefault="00E332F9" w:rsidP="00E332F9">
      <w:pPr>
        <w:pStyle w:val="Heading3"/>
        <w:rPr>
          <w:highlight w:val="yellow"/>
        </w:rPr>
      </w:pPr>
      <w:bookmarkStart w:id="91" w:name="_Toc511038039"/>
      <w:bookmarkStart w:id="92" w:name="_Toc511244891"/>
      <w:r w:rsidRPr="00D53F1A">
        <w:t>1.6.1 Standard Practice Baseline</w:t>
      </w:r>
      <w:r>
        <w:t xml:space="preserve"> Studies</w:t>
      </w:r>
      <w:bookmarkEnd w:id="91"/>
      <w:bookmarkEnd w:id="92"/>
    </w:p>
    <w:p w14:paraId="60F49881" w14:textId="77777777" w:rsidR="00E332F9" w:rsidRPr="00BA39EA" w:rsidRDefault="00E332F9" w:rsidP="00E332F9">
      <w:pPr>
        <w:rPr>
          <w:rFonts w:ascii="Arial" w:hAnsi="Arial" w:cs="Arial"/>
          <w:b/>
          <w:sz w:val="20"/>
          <w:szCs w:val="20"/>
        </w:rPr>
      </w:pPr>
      <w:r w:rsidRPr="00BA39EA">
        <w:rPr>
          <w:rFonts w:ascii="Arial" w:hAnsi="Arial" w:cs="Arial"/>
          <w:b/>
          <w:sz w:val="20"/>
          <w:szCs w:val="20"/>
        </w:rPr>
        <w:t>Indoor LED Lighting</w:t>
      </w:r>
    </w:p>
    <w:p w14:paraId="228B71DE" w14:textId="77777777" w:rsidR="00E332F9" w:rsidRPr="00BA39EA" w:rsidRDefault="00E332F9" w:rsidP="00E332F9">
      <w:pPr>
        <w:rPr>
          <w:rFonts w:ascii="Arial" w:hAnsi="Arial" w:cs="Arial"/>
          <w:sz w:val="20"/>
          <w:szCs w:val="20"/>
        </w:rPr>
      </w:pPr>
      <w:r w:rsidRPr="00BA39EA">
        <w:rPr>
          <w:rFonts w:ascii="Arial" w:hAnsi="Arial" w:cs="Arial"/>
          <w:sz w:val="20"/>
          <w:szCs w:val="20"/>
        </w:rPr>
        <w:t xml:space="preserve">Previous revisions of this workpaper focused on the replacement of metal halide or linear fluorescent fixtures with LED technology.  The baseline assumed 100% metal halide or 100% linear fluorescent in previous measure codes.  </w:t>
      </w:r>
    </w:p>
    <w:p w14:paraId="5A9C25CB" w14:textId="77777777" w:rsidR="00E332F9" w:rsidRPr="00BA39EA" w:rsidRDefault="00E332F9" w:rsidP="00E332F9">
      <w:pPr>
        <w:rPr>
          <w:rFonts w:ascii="Arial" w:hAnsi="Arial" w:cs="Arial"/>
          <w:sz w:val="20"/>
          <w:szCs w:val="20"/>
        </w:rPr>
      </w:pPr>
    </w:p>
    <w:p w14:paraId="1A6E01FD" w14:textId="6418100B" w:rsidR="0055659A" w:rsidRDefault="00E332F9" w:rsidP="00E332F9">
      <w:pPr>
        <w:rPr>
          <w:rFonts w:ascii="Arial" w:hAnsi="Arial" w:cs="Arial"/>
          <w:sz w:val="20"/>
          <w:szCs w:val="20"/>
        </w:rPr>
      </w:pPr>
      <w:r>
        <w:rPr>
          <w:rFonts w:ascii="Arial" w:hAnsi="Arial" w:cs="Arial"/>
          <w:sz w:val="20"/>
          <w:szCs w:val="20"/>
        </w:rPr>
        <w:t>The Sept</w:t>
      </w:r>
      <w:r w:rsidR="006E5EB7">
        <w:rPr>
          <w:rFonts w:ascii="Arial" w:hAnsi="Arial" w:cs="Arial"/>
          <w:sz w:val="20"/>
          <w:szCs w:val="20"/>
        </w:rPr>
        <w:t>ember</w:t>
      </w:r>
      <w:r>
        <w:rPr>
          <w:rFonts w:ascii="Arial" w:hAnsi="Arial" w:cs="Arial"/>
          <w:sz w:val="20"/>
          <w:szCs w:val="20"/>
        </w:rPr>
        <w:t xml:space="preserve"> 2017 high-bay and low-bay disposition directed an update to reflect standard practice baseline for normal replacement situations.  As such, the C</w:t>
      </w:r>
      <w:r w:rsidRPr="00BA39EA">
        <w:rPr>
          <w:rFonts w:ascii="Arial" w:hAnsi="Arial" w:cs="Arial"/>
          <w:sz w:val="20"/>
          <w:szCs w:val="20"/>
        </w:rPr>
        <w:t xml:space="preserve">alifornia Investor-Owned Utilities are </w:t>
      </w:r>
      <w:r w:rsidR="006E5EB7">
        <w:rPr>
          <w:rFonts w:ascii="Arial" w:hAnsi="Arial" w:cs="Arial"/>
          <w:sz w:val="20"/>
          <w:szCs w:val="20"/>
        </w:rPr>
        <w:t>leveraging a</w:t>
      </w:r>
      <w:r w:rsidR="0055659A">
        <w:rPr>
          <w:rFonts w:ascii="Arial" w:hAnsi="Arial" w:cs="Arial"/>
          <w:sz w:val="20"/>
          <w:szCs w:val="20"/>
        </w:rPr>
        <w:t xml:space="preserve"> PG&amp;E</w:t>
      </w:r>
      <w:r w:rsidR="006E5EB7">
        <w:rPr>
          <w:rFonts w:ascii="Arial" w:hAnsi="Arial" w:cs="Arial"/>
          <w:sz w:val="20"/>
          <w:szCs w:val="20"/>
        </w:rPr>
        <w:t>-led</w:t>
      </w:r>
      <w:r w:rsidRPr="00BA39EA">
        <w:rPr>
          <w:rFonts w:ascii="Arial" w:hAnsi="Arial" w:cs="Arial"/>
          <w:sz w:val="20"/>
          <w:szCs w:val="20"/>
        </w:rPr>
        <w:t xml:space="preserve"> “Non-residential Lighting Market Characterization Study” that is currently underway </w:t>
      </w:r>
      <w:r w:rsidR="006E5EB7">
        <w:rPr>
          <w:rFonts w:ascii="Arial" w:hAnsi="Arial" w:cs="Arial"/>
          <w:sz w:val="20"/>
          <w:szCs w:val="20"/>
        </w:rPr>
        <w:t xml:space="preserve">by Navigant Consulting, Inc. </w:t>
      </w:r>
      <w:r w:rsidRPr="00BA39EA">
        <w:rPr>
          <w:rFonts w:ascii="Arial" w:hAnsi="Arial" w:cs="Arial"/>
          <w:sz w:val="20"/>
          <w:szCs w:val="20"/>
        </w:rPr>
        <w:t xml:space="preserve">to gather 2017 and projected (5 years) sales data </w:t>
      </w:r>
      <w:r w:rsidR="006E5EB7">
        <w:rPr>
          <w:rFonts w:ascii="Arial" w:hAnsi="Arial" w:cs="Arial"/>
          <w:sz w:val="20"/>
          <w:szCs w:val="20"/>
        </w:rPr>
        <w:t>that will inform the standard practice baseline for interior LED categories. This Study is targeted for c</w:t>
      </w:r>
      <w:r w:rsidRPr="00BA39EA">
        <w:rPr>
          <w:rFonts w:ascii="Arial" w:hAnsi="Arial" w:cs="Arial"/>
          <w:sz w:val="20"/>
          <w:szCs w:val="20"/>
        </w:rPr>
        <w:t xml:space="preserve">ompletion by </w:t>
      </w:r>
      <w:r w:rsidR="00A476DC">
        <w:rPr>
          <w:rFonts w:ascii="Arial" w:hAnsi="Arial" w:cs="Arial"/>
          <w:sz w:val="20"/>
          <w:szCs w:val="20"/>
        </w:rPr>
        <w:t>late</w:t>
      </w:r>
      <w:r w:rsidRPr="00BA39EA">
        <w:rPr>
          <w:rFonts w:ascii="Arial" w:hAnsi="Arial" w:cs="Arial"/>
          <w:sz w:val="20"/>
          <w:szCs w:val="20"/>
        </w:rPr>
        <w:t xml:space="preserve"> 2018.  Leveraging Navigant’s study is an effort to consolidate touch points with manufacturers and distributors. </w:t>
      </w:r>
    </w:p>
    <w:p w14:paraId="26CE5B33" w14:textId="77777777" w:rsidR="0055659A" w:rsidRDefault="0055659A" w:rsidP="00E332F9">
      <w:pPr>
        <w:rPr>
          <w:rFonts w:ascii="Arial" w:hAnsi="Arial" w:cs="Arial"/>
          <w:sz w:val="20"/>
          <w:szCs w:val="20"/>
        </w:rPr>
      </w:pPr>
    </w:p>
    <w:p w14:paraId="3362B5E9" w14:textId="13731AA5" w:rsidR="00E332F9" w:rsidRDefault="00E332F9" w:rsidP="00E332F9">
      <w:pPr>
        <w:rPr>
          <w:rFonts w:ascii="Arial" w:hAnsi="Arial" w:cs="Arial"/>
          <w:sz w:val="20"/>
          <w:szCs w:val="20"/>
        </w:rPr>
      </w:pPr>
      <w:r w:rsidRPr="00BA39EA">
        <w:rPr>
          <w:rFonts w:ascii="Arial" w:hAnsi="Arial" w:cs="Arial"/>
          <w:sz w:val="20"/>
          <w:szCs w:val="20"/>
        </w:rPr>
        <w:t xml:space="preserve">The results gathered will address the base case technology percentage mix and efficacy levels, </w:t>
      </w:r>
      <w:r>
        <w:rPr>
          <w:rFonts w:ascii="Arial" w:hAnsi="Arial" w:cs="Arial"/>
          <w:sz w:val="20"/>
          <w:szCs w:val="20"/>
        </w:rPr>
        <w:t>which will be used to update R</w:t>
      </w:r>
      <w:r w:rsidR="004075BD">
        <w:rPr>
          <w:rFonts w:ascii="Arial" w:hAnsi="Arial" w:cs="Arial"/>
          <w:sz w:val="20"/>
          <w:szCs w:val="20"/>
        </w:rPr>
        <w:t>5</w:t>
      </w:r>
      <w:r>
        <w:rPr>
          <w:rFonts w:ascii="Arial" w:hAnsi="Arial" w:cs="Arial"/>
          <w:sz w:val="20"/>
          <w:szCs w:val="20"/>
        </w:rPr>
        <w:t xml:space="preserve"> of the workpaper</w:t>
      </w:r>
      <w:r w:rsidRPr="00BA39EA">
        <w:rPr>
          <w:rFonts w:ascii="Arial" w:hAnsi="Arial" w:cs="Arial"/>
          <w:sz w:val="20"/>
          <w:szCs w:val="20"/>
        </w:rPr>
        <w:t xml:space="preserve">.  </w:t>
      </w:r>
      <w:r>
        <w:rPr>
          <w:rFonts w:ascii="Arial" w:hAnsi="Arial" w:cs="Arial"/>
          <w:sz w:val="20"/>
          <w:szCs w:val="20"/>
        </w:rPr>
        <w:t xml:space="preserve">Therefore, </w:t>
      </w:r>
      <w:r w:rsidRPr="00BA39EA">
        <w:rPr>
          <w:rFonts w:ascii="Arial" w:hAnsi="Arial" w:cs="Arial"/>
          <w:sz w:val="20"/>
          <w:szCs w:val="20"/>
        </w:rPr>
        <w:t>PG&amp;E has updated this workpaper (Revision 3) with an interim solution until the standard practice baseline results have been approved and published.</w:t>
      </w:r>
      <w:r w:rsidR="00BC00FC">
        <w:rPr>
          <w:rFonts w:ascii="Arial" w:hAnsi="Arial" w:cs="Arial"/>
          <w:sz w:val="20"/>
          <w:szCs w:val="20"/>
        </w:rPr>
        <w:t xml:space="preserve">  The table below is </w:t>
      </w:r>
      <w:r w:rsidR="00586EBA">
        <w:rPr>
          <w:rFonts w:ascii="Arial" w:hAnsi="Arial" w:cs="Arial"/>
          <w:sz w:val="20"/>
          <w:szCs w:val="20"/>
        </w:rPr>
        <w:t>the</w:t>
      </w:r>
      <w:r w:rsidR="00BC00FC">
        <w:rPr>
          <w:rFonts w:ascii="Arial" w:hAnsi="Arial" w:cs="Arial"/>
          <w:sz w:val="20"/>
          <w:szCs w:val="20"/>
        </w:rPr>
        <w:t xml:space="preserve"> breakdown of technology use for the </w:t>
      </w:r>
      <w:r w:rsidR="00586EBA">
        <w:rPr>
          <w:rFonts w:ascii="Arial" w:hAnsi="Arial" w:cs="Arial"/>
          <w:sz w:val="20"/>
          <w:szCs w:val="20"/>
        </w:rPr>
        <w:t>base case used in the savings calculations.</w:t>
      </w:r>
      <w:r w:rsidR="00AB31B9">
        <w:rPr>
          <w:rFonts w:ascii="Arial" w:hAnsi="Arial" w:cs="Arial"/>
          <w:sz w:val="20"/>
          <w:szCs w:val="20"/>
        </w:rPr>
        <w:t xml:space="preserve">  </w:t>
      </w:r>
    </w:p>
    <w:p w14:paraId="365D6F3F" w14:textId="75779D61" w:rsidR="00570F86" w:rsidRDefault="00570F86" w:rsidP="00E332F9">
      <w:pPr>
        <w:rPr>
          <w:rFonts w:ascii="Arial" w:hAnsi="Arial" w:cs="Arial"/>
          <w:sz w:val="20"/>
          <w:szCs w:val="20"/>
        </w:rPr>
      </w:pPr>
    </w:p>
    <w:p w14:paraId="705167C2" w14:textId="68DF3201" w:rsidR="005F797F" w:rsidRPr="00A847A5" w:rsidRDefault="005F797F" w:rsidP="005F797F">
      <w:pPr>
        <w:pStyle w:val="Caption"/>
        <w:keepNext/>
        <w:jc w:val="center"/>
        <w:rPr>
          <w:rFonts w:ascii="Arial" w:hAnsi="Arial" w:cs="Arial"/>
        </w:rPr>
      </w:pPr>
      <w:bookmarkStart w:id="93" w:name="_Ref510982488"/>
      <w:bookmarkStart w:id="94" w:name="_Toc511038013"/>
      <w:bookmarkStart w:id="95" w:name="_Toc511244274"/>
      <w:bookmarkStart w:id="96" w:name="_Toc511244299"/>
      <w:bookmarkStart w:id="97" w:name="_Toc511244918"/>
      <w:r w:rsidRPr="00A847A5">
        <w:rPr>
          <w:rFonts w:ascii="Arial" w:hAnsi="Arial" w:cs="Arial"/>
        </w:rPr>
        <w:t xml:space="preserve">Table </w:t>
      </w:r>
      <w:r w:rsidR="00CB0CC3" w:rsidRPr="1AA8F051">
        <w:fldChar w:fldCharType="begin"/>
      </w:r>
      <w:r w:rsidR="00CB0CC3" w:rsidRPr="00A847A5">
        <w:rPr>
          <w:rFonts w:ascii="Arial" w:hAnsi="Arial" w:cs="Arial"/>
        </w:rPr>
        <w:instrText xml:space="preserve"> SEQ Table \* ARABIC </w:instrText>
      </w:r>
      <w:r w:rsidR="00CB0CC3" w:rsidRPr="1AA8F051">
        <w:rPr>
          <w:rFonts w:ascii="Arial" w:hAnsi="Arial" w:cs="Arial"/>
        </w:rPr>
        <w:fldChar w:fldCharType="separate"/>
      </w:r>
      <w:r w:rsidR="00E94C25">
        <w:rPr>
          <w:rFonts w:ascii="Arial" w:hAnsi="Arial" w:cs="Arial"/>
          <w:noProof/>
        </w:rPr>
        <w:t>9</w:t>
      </w:r>
      <w:r w:rsidR="00CB0CC3" w:rsidRPr="1AA8F051">
        <w:fldChar w:fldCharType="end"/>
      </w:r>
      <w:r w:rsidRPr="00A847A5">
        <w:rPr>
          <w:rFonts w:ascii="Arial" w:hAnsi="Arial" w:cs="Arial"/>
        </w:rPr>
        <w:t xml:space="preserve"> – Base Case Technology Percentage Mix</w:t>
      </w:r>
      <w:bookmarkEnd w:id="93"/>
      <w:bookmarkEnd w:id="94"/>
      <w:bookmarkEnd w:id="95"/>
      <w:bookmarkEnd w:id="96"/>
      <w:bookmarkEnd w:id="9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380"/>
        <w:gridCol w:w="794"/>
        <w:gridCol w:w="1350"/>
        <w:gridCol w:w="780"/>
      </w:tblGrid>
      <w:tr w:rsidR="00E234AD" w:rsidRPr="007E3EDF" w14:paraId="58B4EAA2" w14:textId="244443EA" w:rsidTr="00A476DC">
        <w:trPr>
          <w:trHeight w:val="337"/>
          <w:jc w:val="center"/>
        </w:trPr>
        <w:tc>
          <w:tcPr>
            <w:tcW w:w="664" w:type="pct"/>
            <w:shd w:val="clear" w:color="auto" w:fill="auto"/>
            <w:noWrap/>
            <w:vAlign w:val="center"/>
          </w:tcPr>
          <w:p w14:paraId="601922CA" w14:textId="01C56872" w:rsidR="00E234AD" w:rsidRPr="00570F86" w:rsidRDefault="00E234AD" w:rsidP="00570F86">
            <w:pPr>
              <w:autoSpaceDE w:val="0"/>
              <w:autoSpaceDN w:val="0"/>
              <w:jc w:val="center"/>
              <w:rPr>
                <w:rFonts w:ascii="Arial" w:hAnsi="Arial" w:cs="Arial"/>
                <w:b/>
                <w:color w:val="000000"/>
                <w:sz w:val="20"/>
                <w:szCs w:val="20"/>
              </w:rPr>
            </w:pPr>
            <w:r w:rsidRPr="1AA8F051">
              <w:rPr>
                <w:rFonts w:ascii="Arial" w:hAnsi="Arial"/>
                <w:b/>
                <w:color w:val="000000" w:themeColor="text1"/>
                <w:sz w:val="20"/>
              </w:rPr>
              <w:t>Meas Code</w:t>
            </w:r>
          </w:p>
        </w:tc>
        <w:tc>
          <w:tcPr>
            <w:tcW w:w="2729" w:type="pct"/>
            <w:shd w:val="clear" w:color="auto" w:fill="auto"/>
            <w:noWrap/>
            <w:vAlign w:val="center"/>
          </w:tcPr>
          <w:p w14:paraId="666C02D1" w14:textId="53462D6F" w:rsidR="00E234AD" w:rsidRPr="00570F86" w:rsidRDefault="00E234AD" w:rsidP="00570F86">
            <w:pPr>
              <w:jc w:val="center"/>
              <w:rPr>
                <w:rFonts w:ascii="Arial" w:hAnsi="Arial" w:cs="Arial"/>
                <w:b/>
                <w:color w:val="000000"/>
                <w:sz w:val="20"/>
                <w:szCs w:val="20"/>
              </w:rPr>
            </w:pPr>
            <w:r w:rsidRPr="1AA8F051">
              <w:rPr>
                <w:rFonts w:ascii="Arial" w:hAnsi="Arial"/>
                <w:b/>
                <w:color w:val="000000" w:themeColor="text1"/>
                <w:sz w:val="20"/>
              </w:rPr>
              <w:t>Measure Description</w:t>
            </w:r>
          </w:p>
        </w:tc>
        <w:tc>
          <w:tcPr>
            <w:tcW w:w="455" w:type="pct"/>
            <w:vAlign w:val="center"/>
          </w:tcPr>
          <w:p w14:paraId="19CA2B01" w14:textId="25C6C756" w:rsidR="00E234AD" w:rsidRPr="00A847A5" w:rsidRDefault="00E234AD" w:rsidP="00E234AD">
            <w:pPr>
              <w:jc w:val="center"/>
              <w:rPr>
                <w:rFonts w:ascii="Arial" w:hAnsi="Arial" w:cs="Arial"/>
                <w:b/>
                <w:color w:val="000000"/>
                <w:sz w:val="20"/>
                <w:szCs w:val="20"/>
              </w:rPr>
            </w:pPr>
            <w:r w:rsidRPr="1AA8F051">
              <w:rPr>
                <w:rFonts w:ascii="Arial" w:hAnsi="Arial"/>
                <w:b/>
                <w:color w:val="000000" w:themeColor="text1"/>
                <w:sz w:val="20"/>
              </w:rPr>
              <w:t>Meas Case Tier</w:t>
            </w:r>
          </w:p>
        </w:tc>
        <w:tc>
          <w:tcPr>
            <w:tcW w:w="705" w:type="pct"/>
            <w:vAlign w:val="center"/>
          </w:tcPr>
          <w:p w14:paraId="3898EB7D" w14:textId="6F4088BA" w:rsidR="00E234AD" w:rsidRPr="00A847A5" w:rsidRDefault="00E234AD" w:rsidP="00570F86">
            <w:pPr>
              <w:jc w:val="center"/>
              <w:rPr>
                <w:rFonts w:ascii="Arial" w:hAnsi="Arial" w:cs="Arial"/>
                <w:b/>
                <w:color w:val="000000"/>
                <w:sz w:val="20"/>
                <w:szCs w:val="20"/>
              </w:rPr>
            </w:pPr>
            <w:r w:rsidRPr="1AA8F051">
              <w:rPr>
                <w:rFonts w:ascii="Arial" w:hAnsi="Arial"/>
                <w:b/>
                <w:color w:val="000000" w:themeColor="text1"/>
                <w:sz w:val="20"/>
              </w:rPr>
              <w:t>Base Case</w:t>
            </w:r>
          </w:p>
          <w:p w14:paraId="26B9E29B" w14:textId="7943C992" w:rsidR="00E234AD" w:rsidRPr="00A847A5" w:rsidRDefault="00E234AD" w:rsidP="00570F86">
            <w:pPr>
              <w:jc w:val="center"/>
              <w:rPr>
                <w:rFonts w:ascii="Arial" w:hAnsi="Arial" w:cs="Arial"/>
                <w:b/>
                <w:color w:val="000000"/>
                <w:sz w:val="20"/>
                <w:szCs w:val="20"/>
              </w:rPr>
            </w:pPr>
            <w:r w:rsidRPr="1AA8F051">
              <w:rPr>
                <w:rFonts w:ascii="Arial" w:hAnsi="Arial"/>
                <w:b/>
                <w:color w:val="000000" w:themeColor="text1"/>
                <w:sz w:val="20"/>
              </w:rPr>
              <w:t>% Linear Fluorescent</w:t>
            </w:r>
          </w:p>
        </w:tc>
        <w:tc>
          <w:tcPr>
            <w:tcW w:w="447" w:type="pct"/>
            <w:vAlign w:val="center"/>
          </w:tcPr>
          <w:p w14:paraId="54B59D52" w14:textId="77777777" w:rsidR="00E234AD" w:rsidRPr="00A847A5" w:rsidRDefault="00E234AD" w:rsidP="00570F86">
            <w:pPr>
              <w:jc w:val="center"/>
              <w:rPr>
                <w:rFonts w:ascii="Arial" w:hAnsi="Arial" w:cs="Arial"/>
                <w:b/>
                <w:color w:val="000000"/>
                <w:sz w:val="20"/>
                <w:szCs w:val="20"/>
              </w:rPr>
            </w:pPr>
            <w:r w:rsidRPr="1AA8F051">
              <w:rPr>
                <w:rFonts w:ascii="Arial" w:hAnsi="Arial"/>
                <w:b/>
                <w:color w:val="000000" w:themeColor="text1"/>
                <w:sz w:val="20"/>
              </w:rPr>
              <w:t>Base Case</w:t>
            </w:r>
          </w:p>
          <w:p w14:paraId="69EE2466" w14:textId="04978527" w:rsidR="00E234AD" w:rsidRPr="00A847A5" w:rsidRDefault="00E234AD" w:rsidP="00570F86">
            <w:pPr>
              <w:jc w:val="center"/>
              <w:rPr>
                <w:rFonts w:ascii="Arial" w:hAnsi="Arial" w:cs="Arial"/>
                <w:b/>
                <w:color w:val="000000"/>
                <w:sz w:val="20"/>
                <w:szCs w:val="20"/>
              </w:rPr>
            </w:pPr>
            <w:r w:rsidRPr="1AA8F051">
              <w:rPr>
                <w:rFonts w:ascii="Arial" w:hAnsi="Arial"/>
                <w:b/>
                <w:color w:val="000000" w:themeColor="text1"/>
                <w:sz w:val="20"/>
              </w:rPr>
              <w:t>% LED</w:t>
            </w:r>
          </w:p>
        </w:tc>
      </w:tr>
      <w:tr w:rsidR="00A476DC" w:rsidRPr="007E3EDF" w14:paraId="022075EA" w14:textId="77777777" w:rsidTr="00A476DC">
        <w:trPr>
          <w:trHeight w:val="337"/>
          <w:jc w:val="center"/>
        </w:trPr>
        <w:tc>
          <w:tcPr>
            <w:tcW w:w="664" w:type="pct"/>
            <w:shd w:val="clear" w:color="auto" w:fill="auto"/>
            <w:noWrap/>
            <w:vAlign w:val="bottom"/>
          </w:tcPr>
          <w:p w14:paraId="121FD1B0" w14:textId="5E07FAA0"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LT376</w:t>
            </w:r>
          </w:p>
        </w:tc>
        <w:tc>
          <w:tcPr>
            <w:tcW w:w="2729" w:type="pct"/>
            <w:shd w:val="clear" w:color="auto" w:fill="auto"/>
            <w:noWrap/>
            <w:vAlign w:val="bottom"/>
          </w:tcPr>
          <w:p w14:paraId="69BBF852" w14:textId="51F402F0" w:rsidR="00A476DC" w:rsidRPr="00A847A5" w:rsidRDefault="00A476DC" w:rsidP="00A476DC">
            <w:pPr>
              <w:jc w:val="center"/>
              <w:rPr>
                <w:rFonts w:ascii="Arial" w:hAnsi="Arial" w:cs="Arial"/>
                <w:color w:val="000000"/>
                <w:sz w:val="18"/>
                <w:szCs w:val="20"/>
              </w:rPr>
            </w:pPr>
            <w:r>
              <w:rPr>
                <w:rFonts w:ascii="Calibri" w:hAnsi="Calibri"/>
                <w:color w:val="000000"/>
                <w:sz w:val="22"/>
                <w:szCs w:val="22"/>
              </w:rPr>
              <w:t>LED High/Low Bay:  110 LPW to &lt;130 LPW, 0 to &lt;48 W</w:t>
            </w:r>
          </w:p>
        </w:tc>
        <w:tc>
          <w:tcPr>
            <w:tcW w:w="455" w:type="pct"/>
            <w:vAlign w:val="center"/>
          </w:tcPr>
          <w:p w14:paraId="0F2893AD" w14:textId="5733860B"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1B4CEAA4" w14:textId="4B336EA5"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6B324225" w14:textId="31FF202E"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26BF9861" w14:textId="6CF9ED26" w:rsidTr="00A476DC">
        <w:trPr>
          <w:trHeight w:val="337"/>
          <w:jc w:val="center"/>
        </w:trPr>
        <w:tc>
          <w:tcPr>
            <w:tcW w:w="664" w:type="pct"/>
            <w:shd w:val="clear" w:color="auto" w:fill="auto"/>
            <w:noWrap/>
            <w:vAlign w:val="bottom"/>
          </w:tcPr>
          <w:p w14:paraId="2F9A3978" w14:textId="7326BB64"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lastRenderedPageBreak/>
              <w:t>LT377</w:t>
            </w:r>
          </w:p>
        </w:tc>
        <w:tc>
          <w:tcPr>
            <w:tcW w:w="2729" w:type="pct"/>
            <w:shd w:val="clear" w:color="auto" w:fill="auto"/>
            <w:noWrap/>
            <w:vAlign w:val="bottom"/>
          </w:tcPr>
          <w:p w14:paraId="7DCC6EB2" w14:textId="1921A3C1" w:rsidR="00A476DC" w:rsidRPr="00A847A5" w:rsidRDefault="00A476DC" w:rsidP="00A476DC">
            <w:pPr>
              <w:jc w:val="center"/>
              <w:rPr>
                <w:rFonts w:ascii="Arial" w:hAnsi="Arial" w:cs="Arial"/>
                <w:color w:val="000000"/>
                <w:sz w:val="18"/>
                <w:szCs w:val="20"/>
              </w:rPr>
            </w:pPr>
            <w:r>
              <w:rPr>
                <w:rFonts w:ascii="Calibri" w:hAnsi="Calibri"/>
                <w:color w:val="000000"/>
                <w:sz w:val="22"/>
                <w:szCs w:val="22"/>
              </w:rPr>
              <w:t>LED High/Low Bay:  110 LPW to &lt;130 LPW, 48 to &lt;71 W</w:t>
            </w:r>
          </w:p>
        </w:tc>
        <w:tc>
          <w:tcPr>
            <w:tcW w:w="455" w:type="pct"/>
            <w:vAlign w:val="center"/>
          </w:tcPr>
          <w:p w14:paraId="17CB4FB0" w14:textId="2638C669"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04FF6599" w14:textId="70CD8745"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4B0BBFEB" w14:textId="37DA132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77F904FE" w14:textId="74CFCE84" w:rsidTr="00A476DC">
        <w:trPr>
          <w:trHeight w:val="337"/>
          <w:jc w:val="center"/>
        </w:trPr>
        <w:tc>
          <w:tcPr>
            <w:tcW w:w="664" w:type="pct"/>
            <w:shd w:val="clear" w:color="auto" w:fill="auto"/>
            <w:noWrap/>
            <w:vAlign w:val="bottom"/>
          </w:tcPr>
          <w:p w14:paraId="1F458281" w14:textId="2FEFE16B"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LT378</w:t>
            </w:r>
          </w:p>
        </w:tc>
        <w:tc>
          <w:tcPr>
            <w:tcW w:w="2729" w:type="pct"/>
            <w:shd w:val="clear" w:color="auto" w:fill="auto"/>
            <w:noWrap/>
            <w:vAlign w:val="bottom"/>
          </w:tcPr>
          <w:p w14:paraId="5B66207B" w14:textId="3A93F28A"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110 LPW to &lt;130 LPW, 71 to &lt;90 W</w:t>
            </w:r>
          </w:p>
        </w:tc>
        <w:tc>
          <w:tcPr>
            <w:tcW w:w="455" w:type="pct"/>
            <w:vAlign w:val="center"/>
          </w:tcPr>
          <w:p w14:paraId="5C8AB877" w14:textId="6AD31237"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19733E73" w14:textId="2923C6B4"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6332A6EC" w14:textId="37CECDE1"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490591FD" w14:textId="0E923A1C" w:rsidTr="00A476DC">
        <w:trPr>
          <w:trHeight w:val="337"/>
          <w:jc w:val="center"/>
        </w:trPr>
        <w:tc>
          <w:tcPr>
            <w:tcW w:w="664" w:type="pct"/>
            <w:shd w:val="clear" w:color="auto" w:fill="auto"/>
            <w:noWrap/>
            <w:vAlign w:val="bottom"/>
          </w:tcPr>
          <w:p w14:paraId="27417D36" w14:textId="20A7838A"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LT379</w:t>
            </w:r>
          </w:p>
        </w:tc>
        <w:tc>
          <w:tcPr>
            <w:tcW w:w="2729" w:type="pct"/>
            <w:shd w:val="clear" w:color="auto" w:fill="auto"/>
            <w:noWrap/>
            <w:vAlign w:val="bottom"/>
          </w:tcPr>
          <w:p w14:paraId="4F249218" w14:textId="58CC604A"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120 LPW to &lt;130 LPW, 90 to &lt;125 W</w:t>
            </w:r>
          </w:p>
        </w:tc>
        <w:tc>
          <w:tcPr>
            <w:tcW w:w="455" w:type="pct"/>
            <w:vAlign w:val="center"/>
          </w:tcPr>
          <w:p w14:paraId="3B3C8CF1" w14:textId="70F56302"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2A30D9C7" w14:textId="500A6E76"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1ACBF387" w14:textId="34E6D371"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47A07286" w14:textId="660F86B0" w:rsidTr="00A476DC">
        <w:trPr>
          <w:trHeight w:val="337"/>
          <w:jc w:val="center"/>
        </w:trPr>
        <w:tc>
          <w:tcPr>
            <w:tcW w:w="664" w:type="pct"/>
            <w:shd w:val="clear" w:color="auto" w:fill="auto"/>
            <w:noWrap/>
            <w:vAlign w:val="bottom"/>
          </w:tcPr>
          <w:p w14:paraId="75BE66A2" w14:textId="556E0B6A"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LT380</w:t>
            </w:r>
          </w:p>
        </w:tc>
        <w:tc>
          <w:tcPr>
            <w:tcW w:w="2729" w:type="pct"/>
            <w:shd w:val="clear" w:color="auto" w:fill="auto"/>
            <w:noWrap/>
            <w:vAlign w:val="bottom"/>
          </w:tcPr>
          <w:p w14:paraId="1C0003DA" w14:textId="3396CDA7"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120 LPW to &lt;130 LPW, 125 to &lt;153 W</w:t>
            </w:r>
          </w:p>
        </w:tc>
        <w:tc>
          <w:tcPr>
            <w:tcW w:w="455" w:type="pct"/>
            <w:vAlign w:val="center"/>
          </w:tcPr>
          <w:p w14:paraId="68326BB9" w14:textId="0EBB1ED5"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54958857" w14:textId="1F2BA3AA"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7CAF01EC" w14:textId="467402D6"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5F9BC97C" w14:textId="77777777" w:rsidTr="00A476DC">
        <w:trPr>
          <w:trHeight w:val="337"/>
          <w:jc w:val="center"/>
        </w:trPr>
        <w:tc>
          <w:tcPr>
            <w:tcW w:w="664" w:type="pct"/>
            <w:shd w:val="clear" w:color="auto" w:fill="auto"/>
            <w:noWrap/>
            <w:vAlign w:val="bottom"/>
          </w:tcPr>
          <w:p w14:paraId="044FC5F9" w14:textId="79B8C9E1"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LT381</w:t>
            </w:r>
          </w:p>
        </w:tc>
        <w:tc>
          <w:tcPr>
            <w:tcW w:w="2729" w:type="pct"/>
            <w:shd w:val="clear" w:color="auto" w:fill="auto"/>
            <w:noWrap/>
            <w:vAlign w:val="bottom"/>
          </w:tcPr>
          <w:p w14:paraId="036A8C19" w14:textId="3B5C402F"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125 LPW to &lt;135 LPW, 153 to &lt;187 W</w:t>
            </w:r>
          </w:p>
        </w:tc>
        <w:tc>
          <w:tcPr>
            <w:tcW w:w="455" w:type="pct"/>
            <w:vAlign w:val="center"/>
          </w:tcPr>
          <w:p w14:paraId="298D4CC0" w14:textId="2E8FB21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2CC63CBE" w14:textId="59B0A4A0"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4C15138C" w14:textId="68A880C3"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186D3EBA" w14:textId="77777777" w:rsidTr="00A476DC">
        <w:trPr>
          <w:trHeight w:val="337"/>
          <w:jc w:val="center"/>
        </w:trPr>
        <w:tc>
          <w:tcPr>
            <w:tcW w:w="664" w:type="pct"/>
            <w:shd w:val="clear" w:color="auto" w:fill="auto"/>
            <w:noWrap/>
            <w:vAlign w:val="bottom"/>
          </w:tcPr>
          <w:p w14:paraId="592AA968" w14:textId="4125BDEA"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LT382</w:t>
            </w:r>
          </w:p>
        </w:tc>
        <w:tc>
          <w:tcPr>
            <w:tcW w:w="2729" w:type="pct"/>
            <w:shd w:val="clear" w:color="auto" w:fill="auto"/>
            <w:noWrap/>
            <w:vAlign w:val="bottom"/>
          </w:tcPr>
          <w:p w14:paraId="54B1CEC6" w14:textId="5D170D9C"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125 LPW to &lt;135 LPW, 187 to &lt;212 W</w:t>
            </w:r>
          </w:p>
        </w:tc>
        <w:tc>
          <w:tcPr>
            <w:tcW w:w="455" w:type="pct"/>
            <w:vAlign w:val="center"/>
          </w:tcPr>
          <w:p w14:paraId="44567385" w14:textId="45DD5168"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439A9D3E" w14:textId="1C8CDB6F"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0%</w:t>
            </w:r>
          </w:p>
        </w:tc>
        <w:tc>
          <w:tcPr>
            <w:tcW w:w="447" w:type="pct"/>
            <w:vAlign w:val="center"/>
          </w:tcPr>
          <w:p w14:paraId="1D8F2AE4" w14:textId="08C6C97F"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100%</w:t>
            </w:r>
          </w:p>
        </w:tc>
      </w:tr>
      <w:tr w:rsidR="00A476DC" w:rsidRPr="007E3EDF" w14:paraId="37BAA50F" w14:textId="46BC711F" w:rsidTr="00A476DC">
        <w:trPr>
          <w:trHeight w:val="337"/>
          <w:jc w:val="center"/>
        </w:trPr>
        <w:tc>
          <w:tcPr>
            <w:tcW w:w="664" w:type="pct"/>
            <w:shd w:val="clear" w:color="auto" w:fill="auto"/>
            <w:noWrap/>
            <w:vAlign w:val="bottom"/>
          </w:tcPr>
          <w:p w14:paraId="71565E96" w14:textId="5FF3998A"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LT383</w:t>
            </w:r>
          </w:p>
        </w:tc>
        <w:tc>
          <w:tcPr>
            <w:tcW w:w="2729" w:type="pct"/>
            <w:shd w:val="clear" w:color="auto" w:fill="auto"/>
            <w:noWrap/>
            <w:vAlign w:val="bottom"/>
          </w:tcPr>
          <w:p w14:paraId="3ECC1E7E" w14:textId="5871FEE6"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125 LPW to &lt;135 LPW, 212 to &lt;246 W</w:t>
            </w:r>
          </w:p>
        </w:tc>
        <w:tc>
          <w:tcPr>
            <w:tcW w:w="455" w:type="pct"/>
            <w:vAlign w:val="center"/>
          </w:tcPr>
          <w:p w14:paraId="54234874" w14:textId="17FCA3A7"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1</w:t>
            </w:r>
          </w:p>
        </w:tc>
        <w:tc>
          <w:tcPr>
            <w:tcW w:w="705" w:type="pct"/>
            <w:vAlign w:val="center"/>
          </w:tcPr>
          <w:p w14:paraId="0CAD8A95" w14:textId="255EF028"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0%</w:t>
            </w:r>
          </w:p>
        </w:tc>
        <w:tc>
          <w:tcPr>
            <w:tcW w:w="447" w:type="pct"/>
            <w:vAlign w:val="center"/>
          </w:tcPr>
          <w:p w14:paraId="464C9ED6" w14:textId="33513623"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100%</w:t>
            </w:r>
          </w:p>
        </w:tc>
      </w:tr>
      <w:tr w:rsidR="00A476DC" w:rsidRPr="007E3EDF" w14:paraId="735B2F1E" w14:textId="77777777" w:rsidTr="00A476DC">
        <w:trPr>
          <w:trHeight w:val="337"/>
          <w:jc w:val="center"/>
        </w:trPr>
        <w:tc>
          <w:tcPr>
            <w:tcW w:w="664" w:type="pct"/>
            <w:shd w:val="clear" w:color="auto" w:fill="auto"/>
            <w:noWrap/>
            <w:vAlign w:val="bottom"/>
          </w:tcPr>
          <w:p w14:paraId="3866BCA9" w14:textId="1F5633AD"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LT384</w:t>
            </w:r>
          </w:p>
        </w:tc>
        <w:tc>
          <w:tcPr>
            <w:tcW w:w="2729" w:type="pct"/>
            <w:shd w:val="clear" w:color="auto" w:fill="auto"/>
            <w:noWrap/>
            <w:vAlign w:val="bottom"/>
          </w:tcPr>
          <w:p w14:paraId="58606D8B" w14:textId="284CA69B"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125 LPW to &lt;135 LPW, 246 to &lt;283 W</w:t>
            </w:r>
          </w:p>
        </w:tc>
        <w:tc>
          <w:tcPr>
            <w:tcW w:w="455" w:type="pct"/>
            <w:vAlign w:val="center"/>
          </w:tcPr>
          <w:p w14:paraId="065758A6" w14:textId="667606AC" w:rsidR="00A476DC" w:rsidRPr="1AA8F051" w:rsidRDefault="00A476DC" w:rsidP="00A476DC">
            <w:pPr>
              <w:jc w:val="center"/>
              <w:rPr>
                <w:rFonts w:ascii="Arial" w:hAnsi="Arial"/>
                <w:color w:val="000000" w:themeColor="text1"/>
                <w:sz w:val="20"/>
              </w:rPr>
            </w:pPr>
            <w:r w:rsidRPr="1AA8F051">
              <w:rPr>
                <w:rFonts w:ascii="Arial" w:hAnsi="Arial"/>
                <w:color w:val="000000" w:themeColor="text1"/>
                <w:sz w:val="20"/>
              </w:rPr>
              <w:t>Tier 1</w:t>
            </w:r>
          </w:p>
        </w:tc>
        <w:tc>
          <w:tcPr>
            <w:tcW w:w="705" w:type="pct"/>
            <w:vAlign w:val="center"/>
          </w:tcPr>
          <w:p w14:paraId="5FF0820A" w14:textId="399E5C54" w:rsidR="00A476DC" w:rsidRPr="1AA8F051" w:rsidRDefault="00A476DC" w:rsidP="00A476DC">
            <w:pPr>
              <w:jc w:val="center"/>
              <w:rPr>
                <w:rFonts w:ascii="Arial" w:hAnsi="Arial"/>
                <w:color w:val="000000" w:themeColor="text1"/>
                <w:sz w:val="20"/>
              </w:rPr>
            </w:pPr>
            <w:r w:rsidRPr="1AA8F051">
              <w:rPr>
                <w:rFonts w:ascii="Arial" w:hAnsi="Arial"/>
                <w:color w:val="000000" w:themeColor="text1"/>
                <w:sz w:val="20"/>
              </w:rPr>
              <w:t>0%</w:t>
            </w:r>
          </w:p>
        </w:tc>
        <w:tc>
          <w:tcPr>
            <w:tcW w:w="447" w:type="pct"/>
            <w:vAlign w:val="center"/>
          </w:tcPr>
          <w:p w14:paraId="28B99A24" w14:textId="0B48C4FB" w:rsidR="00A476DC" w:rsidRPr="1AA8F051" w:rsidRDefault="00A476DC" w:rsidP="00A476DC">
            <w:pPr>
              <w:jc w:val="center"/>
              <w:rPr>
                <w:rFonts w:ascii="Arial" w:hAnsi="Arial"/>
                <w:color w:val="000000" w:themeColor="text1"/>
                <w:sz w:val="20"/>
              </w:rPr>
            </w:pPr>
            <w:r w:rsidRPr="1AA8F051">
              <w:rPr>
                <w:rFonts w:ascii="Arial" w:hAnsi="Arial"/>
                <w:color w:val="000000" w:themeColor="text1"/>
                <w:sz w:val="20"/>
              </w:rPr>
              <w:t>100%</w:t>
            </w:r>
          </w:p>
        </w:tc>
      </w:tr>
      <w:tr w:rsidR="00A476DC" w:rsidRPr="007E3EDF" w14:paraId="3BE8E50D" w14:textId="2B85973C" w:rsidTr="00A476DC">
        <w:trPr>
          <w:trHeight w:val="337"/>
          <w:jc w:val="center"/>
        </w:trPr>
        <w:tc>
          <w:tcPr>
            <w:tcW w:w="664" w:type="pct"/>
            <w:shd w:val="clear" w:color="auto" w:fill="auto"/>
            <w:noWrap/>
            <w:vAlign w:val="bottom"/>
          </w:tcPr>
          <w:p w14:paraId="0E5B0FC3" w14:textId="490946F1"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LT385</w:t>
            </w:r>
          </w:p>
        </w:tc>
        <w:tc>
          <w:tcPr>
            <w:tcW w:w="2729" w:type="pct"/>
            <w:shd w:val="clear" w:color="auto" w:fill="auto"/>
            <w:noWrap/>
            <w:vAlign w:val="bottom"/>
          </w:tcPr>
          <w:p w14:paraId="21BF1DD9" w14:textId="1FA0551D"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&gt;=130 LPW, 0 to &lt;42 W</w:t>
            </w:r>
          </w:p>
        </w:tc>
        <w:tc>
          <w:tcPr>
            <w:tcW w:w="455" w:type="pct"/>
            <w:vAlign w:val="center"/>
          </w:tcPr>
          <w:p w14:paraId="63DA74D9" w14:textId="1D1B7C39"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0D20A90D" w14:textId="05C14E03"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3F07A66C" w14:textId="0CEA5356"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77994D2A" w14:textId="5BA4FFBB" w:rsidTr="00A476DC">
        <w:trPr>
          <w:trHeight w:val="337"/>
          <w:jc w:val="center"/>
        </w:trPr>
        <w:tc>
          <w:tcPr>
            <w:tcW w:w="664" w:type="pct"/>
            <w:shd w:val="clear" w:color="auto" w:fill="auto"/>
            <w:noWrap/>
            <w:vAlign w:val="bottom"/>
          </w:tcPr>
          <w:p w14:paraId="70A7E7AE" w14:textId="03F37641"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LT386</w:t>
            </w:r>
          </w:p>
        </w:tc>
        <w:tc>
          <w:tcPr>
            <w:tcW w:w="2729" w:type="pct"/>
            <w:shd w:val="clear" w:color="auto" w:fill="auto"/>
            <w:noWrap/>
            <w:vAlign w:val="bottom"/>
          </w:tcPr>
          <w:p w14:paraId="4237F405" w14:textId="64EDF3FA"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&gt;=130 LPW, 42 to &lt;60 W</w:t>
            </w:r>
          </w:p>
        </w:tc>
        <w:tc>
          <w:tcPr>
            <w:tcW w:w="455" w:type="pct"/>
            <w:vAlign w:val="center"/>
          </w:tcPr>
          <w:p w14:paraId="55BBB125" w14:textId="6EA92CB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29BFDBC8" w14:textId="1E91AD8D"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63F399A0" w14:textId="2FDF5BB8"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3DADD35F" w14:textId="07370751" w:rsidTr="00A476DC">
        <w:trPr>
          <w:trHeight w:val="337"/>
          <w:jc w:val="center"/>
        </w:trPr>
        <w:tc>
          <w:tcPr>
            <w:tcW w:w="664" w:type="pct"/>
            <w:shd w:val="clear" w:color="auto" w:fill="auto"/>
            <w:noWrap/>
            <w:vAlign w:val="bottom"/>
          </w:tcPr>
          <w:p w14:paraId="4F322CEF" w14:textId="2E0C41E7"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LT387</w:t>
            </w:r>
          </w:p>
        </w:tc>
        <w:tc>
          <w:tcPr>
            <w:tcW w:w="2729" w:type="pct"/>
            <w:shd w:val="clear" w:color="auto" w:fill="auto"/>
            <w:noWrap/>
            <w:vAlign w:val="bottom"/>
          </w:tcPr>
          <w:p w14:paraId="7F92CC20" w14:textId="17B5B1BD"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&gt;=130 LPW, 60 to &lt;82 W</w:t>
            </w:r>
          </w:p>
        </w:tc>
        <w:tc>
          <w:tcPr>
            <w:tcW w:w="455" w:type="pct"/>
            <w:vAlign w:val="center"/>
          </w:tcPr>
          <w:p w14:paraId="2A36D5CF" w14:textId="2DBE856A"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0E492597" w14:textId="48CAE16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20%</w:t>
            </w:r>
          </w:p>
        </w:tc>
        <w:tc>
          <w:tcPr>
            <w:tcW w:w="447" w:type="pct"/>
            <w:vAlign w:val="center"/>
          </w:tcPr>
          <w:p w14:paraId="652053E3" w14:textId="203F0D95"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80%</w:t>
            </w:r>
          </w:p>
        </w:tc>
      </w:tr>
      <w:tr w:rsidR="00A476DC" w:rsidRPr="007E3EDF" w14:paraId="6BE7998C" w14:textId="38F20732" w:rsidTr="00A476DC">
        <w:trPr>
          <w:trHeight w:val="337"/>
          <w:jc w:val="center"/>
        </w:trPr>
        <w:tc>
          <w:tcPr>
            <w:tcW w:w="664" w:type="pct"/>
            <w:shd w:val="clear" w:color="auto" w:fill="auto"/>
            <w:noWrap/>
            <w:vAlign w:val="bottom"/>
          </w:tcPr>
          <w:p w14:paraId="5092C525" w14:textId="27490DCA"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LT388</w:t>
            </w:r>
          </w:p>
        </w:tc>
        <w:tc>
          <w:tcPr>
            <w:tcW w:w="2729" w:type="pct"/>
            <w:shd w:val="clear" w:color="auto" w:fill="auto"/>
            <w:noWrap/>
            <w:vAlign w:val="bottom"/>
          </w:tcPr>
          <w:p w14:paraId="2D27D372" w14:textId="30705310"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&gt;=130 LPW, 82 to &lt;113 W</w:t>
            </w:r>
          </w:p>
        </w:tc>
        <w:tc>
          <w:tcPr>
            <w:tcW w:w="455" w:type="pct"/>
            <w:vAlign w:val="center"/>
          </w:tcPr>
          <w:p w14:paraId="248E54B3" w14:textId="3460FC52"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12DBC3FA" w14:textId="4E40BC8D"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380ADB49" w14:textId="43574FAE"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6E73EB78" w14:textId="41DB2DBC" w:rsidTr="00A476DC">
        <w:trPr>
          <w:trHeight w:val="337"/>
          <w:jc w:val="center"/>
        </w:trPr>
        <w:tc>
          <w:tcPr>
            <w:tcW w:w="664" w:type="pct"/>
            <w:shd w:val="clear" w:color="auto" w:fill="auto"/>
            <w:noWrap/>
            <w:vAlign w:val="bottom"/>
          </w:tcPr>
          <w:p w14:paraId="2EFA8799" w14:textId="38A2D42D"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LT389</w:t>
            </w:r>
          </w:p>
        </w:tc>
        <w:tc>
          <w:tcPr>
            <w:tcW w:w="2729" w:type="pct"/>
            <w:shd w:val="clear" w:color="auto" w:fill="auto"/>
            <w:noWrap/>
            <w:vAlign w:val="bottom"/>
          </w:tcPr>
          <w:p w14:paraId="66ABF8C8" w14:textId="602F5784"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&gt;=130 LPW, 113 to &lt;140 W</w:t>
            </w:r>
          </w:p>
        </w:tc>
        <w:tc>
          <w:tcPr>
            <w:tcW w:w="455" w:type="pct"/>
            <w:vAlign w:val="center"/>
          </w:tcPr>
          <w:p w14:paraId="576CF6EB" w14:textId="7BA0951B"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5BF83C26" w14:textId="5EEA23D1"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10766283" w14:textId="0DAF683A"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7EF7709A" w14:textId="45138869" w:rsidTr="00A476DC">
        <w:trPr>
          <w:trHeight w:val="337"/>
          <w:jc w:val="center"/>
        </w:trPr>
        <w:tc>
          <w:tcPr>
            <w:tcW w:w="664" w:type="pct"/>
            <w:shd w:val="clear" w:color="auto" w:fill="auto"/>
            <w:noWrap/>
            <w:vAlign w:val="bottom"/>
          </w:tcPr>
          <w:p w14:paraId="701D3A20" w14:textId="59B29B5C"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LT390</w:t>
            </w:r>
          </w:p>
        </w:tc>
        <w:tc>
          <w:tcPr>
            <w:tcW w:w="2729" w:type="pct"/>
            <w:shd w:val="clear" w:color="auto" w:fill="auto"/>
            <w:noWrap/>
            <w:vAlign w:val="bottom"/>
          </w:tcPr>
          <w:p w14:paraId="2C2412F1" w14:textId="133D4077" w:rsidR="00A476DC" w:rsidRPr="00A847A5" w:rsidRDefault="00A476DC" w:rsidP="00A476DC">
            <w:pPr>
              <w:jc w:val="center"/>
              <w:rPr>
                <w:rFonts w:ascii="Arial" w:hAnsi="Arial" w:cs="Arial"/>
                <w:color w:val="000000"/>
                <w:sz w:val="18"/>
                <w:szCs w:val="20"/>
              </w:rPr>
            </w:pPr>
            <w:r>
              <w:rPr>
                <w:rFonts w:ascii="Calibri" w:hAnsi="Calibri"/>
                <w:color w:val="000000"/>
                <w:sz w:val="22"/>
                <w:szCs w:val="22"/>
              </w:rPr>
              <w:t>LED High/Low Bay:  &gt;=135 LPW, 140 to &lt;174 W</w:t>
            </w:r>
          </w:p>
        </w:tc>
        <w:tc>
          <w:tcPr>
            <w:tcW w:w="455" w:type="pct"/>
            <w:vAlign w:val="center"/>
          </w:tcPr>
          <w:p w14:paraId="60F89AF9" w14:textId="5A9873A6"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57FCC404" w14:textId="2B330FF9"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w:t>
            </w:r>
          </w:p>
        </w:tc>
        <w:tc>
          <w:tcPr>
            <w:tcW w:w="447" w:type="pct"/>
            <w:vAlign w:val="center"/>
          </w:tcPr>
          <w:p w14:paraId="1964EAE1" w14:textId="18DF578E"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90%</w:t>
            </w:r>
          </w:p>
        </w:tc>
      </w:tr>
      <w:tr w:rsidR="00A476DC" w:rsidRPr="007E3EDF" w14:paraId="1CE0ADD7" w14:textId="19432DD2" w:rsidTr="00A476DC">
        <w:trPr>
          <w:trHeight w:val="337"/>
          <w:jc w:val="center"/>
        </w:trPr>
        <w:tc>
          <w:tcPr>
            <w:tcW w:w="664" w:type="pct"/>
            <w:shd w:val="clear" w:color="auto" w:fill="auto"/>
            <w:noWrap/>
            <w:vAlign w:val="bottom"/>
          </w:tcPr>
          <w:p w14:paraId="75A7C7F7" w14:textId="33FF1088"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LT391</w:t>
            </w:r>
          </w:p>
        </w:tc>
        <w:tc>
          <w:tcPr>
            <w:tcW w:w="2729" w:type="pct"/>
            <w:shd w:val="clear" w:color="auto" w:fill="auto"/>
            <w:noWrap/>
            <w:vAlign w:val="bottom"/>
          </w:tcPr>
          <w:p w14:paraId="2BC76E56" w14:textId="2FDEE315" w:rsidR="00A476DC" w:rsidRPr="00A847A5" w:rsidRDefault="00A476DC" w:rsidP="00A476DC">
            <w:pPr>
              <w:jc w:val="center"/>
              <w:rPr>
                <w:rFonts w:ascii="Arial" w:hAnsi="Arial" w:cs="Arial"/>
                <w:color w:val="000000"/>
                <w:sz w:val="18"/>
                <w:szCs w:val="20"/>
              </w:rPr>
            </w:pPr>
            <w:r>
              <w:rPr>
                <w:rFonts w:ascii="Calibri" w:hAnsi="Calibri"/>
                <w:color w:val="000000"/>
                <w:sz w:val="22"/>
                <w:szCs w:val="22"/>
              </w:rPr>
              <w:t>LED High/Low Bay:  &gt;=135 LPW, 174 to &lt;194 W</w:t>
            </w:r>
          </w:p>
        </w:tc>
        <w:tc>
          <w:tcPr>
            <w:tcW w:w="455" w:type="pct"/>
            <w:vAlign w:val="center"/>
          </w:tcPr>
          <w:p w14:paraId="749C394E" w14:textId="7374AA5B"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3F736F25" w14:textId="4551F7C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0%</w:t>
            </w:r>
          </w:p>
        </w:tc>
        <w:tc>
          <w:tcPr>
            <w:tcW w:w="447" w:type="pct"/>
            <w:vAlign w:val="center"/>
          </w:tcPr>
          <w:p w14:paraId="41418657" w14:textId="7E3BA23B"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100%</w:t>
            </w:r>
          </w:p>
        </w:tc>
      </w:tr>
      <w:tr w:rsidR="00A476DC" w:rsidRPr="007E3EDF" w14:paraId="4C7B49E3" w14:textId="2EFC87B0" w:rsidTr="00A476DC">
        <w:trPr>
          <w:trHeight w:val="337"/>
          <w:jc w:val="center"/>
        </w:trPr>
        <w:tc>
          <w:tcPr>
            <w:tcW w:w="664" w:type="pct"/>
            <w:shd w:val="clear" w:color="auto" w:fill="auto"/>
            <w:noWrap/>
            <w:vAlign w:val="bottom"/>
          </w:tcPr>
          <w:p w14:paraId="7279C75A" w14:textId="5B2A11C3" w:rsidR="00A476DC" w:rsidRPr="00A847A5" w:rsidRDefault="00A476DC" w:rsidP="00A476DC">
            <w:pPr>
              <w:autoSpaceDE w:val="0"/>
              <w:autoSpaceDN w:val="0"/>
              <w:jc w:val="center"/>
              <w:rPr>
                <w:rFonts w:ascii="Arial" w:hAnsi="Arial" w:cs="Arial"/>
                <w:color w:val="000000"/>
                <w:sz w:val="18"/>
                <w:szCs w:val="20"/>
              </w:rPr>
            </w:pPr>
            <w:r>
              <w:rPr>
                <w:rFonts w:ascii="Calibri" w:hAnsi="Calibri"/>
                <w:color w:val="000000"/>
                <w:sz w:val="22"/>
                <w:szCs w:val="22"/>
              </w:rPr>
              <w:t>LT392</w:t>
            </w:r>
          </w:p>
        </w:tc>
        <w:tc>
          <w:tcPr>
            <w:tcW w:w="2729" w:type="pct"/>
            <w:shd w:val="clear" w:color="auto" w:fill="auto"/>
            <w:noWrap/>
            <w:vAlign w:val="bottom"/>
          </w:tcPr>
          <w:p w14:paraId="30FBF1E2" w14:textId="14BA6BE8"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&gt;=135 LPW, 194 to &lt;227 W</w:t>
            </w:r>
          </w:p>
        </w:tc>
        <w:tc>
          <w:tcPr>
            <w:tcW w:w="455" w:type="pct"/>
            <w:vAlign w:val="center"/>
          </w:tcPr>
          <w:p w14:paraId="705AFF84" w14:textId="27B284BF"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49DD2EE3" w14:textId="00705434"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0%</w:t>
            </w:r>
          </w:p>
        </w:tc>
        <w:tc>
          <w:tcPr>
            <w:tcW w:w="447" w:type="pct"/>
            <w:vAlign w:val="center"/>
          </w:tcPr>
          <w:p w14:paraId="28EE3977" w14:textId="3512E0E9"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100%</w:t>
            </w:r>
          </w:p>
        </w:tc>
      </w:tr>
      <w:tr w:rsidR="00A476DC" w:rsidRPr="007E3EDF" w14:paraId="59121369" w14:textId="77777777" w:rsidTr="00A476DC">
        <w:trPr>
          <w:trHeight w:val="337"/>
          <w:jc w:val="center"/>
        </w:trPr>
        <w:tc>
          <w:tcPr>
            <w:tcW w:w="664" w:type="pct"/>
            <w:shd w:val="clear" w:color="auto" w:fill="auto"/>
            <w:noWrap/>
            <w:vAlign w:val="bottom"/>
          </w:tcPr>
          <w:p w14:paraId="1F0A6845" w14:textId="77F8564E" w:rsidR="00A476DC" w:rsidRDefault="00A476DC" w:rsidP="00A476DC">
            <w:pPr>
              <w:autoSpaceDE w:val="0"/>
              <w:autoSpaceDN w:val="0"/>
              <w:jc w:val="center"/>
              <w:rPr>
                <w:rFonts w:ascii="Calibri" w:hAnsi="Calibri"/>
                <w:color w:val="000000"/>
                <w:sz w:val="22"/>
                <w:szCs w:val="22"/>
              </w:rPr>
            </w:pPr>
            <w:r>
              <w:rPr>
                <w:rFonts w:ascii="Calibri" w:hAnsi="Calibri"/>
                <w:color w:val="000000"/>
                <w:sz w:val="22"/>
                <w:szCs w:val="22"/>
              </w:rPr>
              <w:t>LT393</w:t>
            </w:r>
          </w:p>
        </w:tc>
        <w:tc>
          <w:tcPr>
            <w:tcW w:w="2729" w:type="pct"/>
            <w:shd w:val="clear" w:color="auto" w:fill="auto"/>
            <w:noWrap/>
            <w:vAlign w:val="bottom"/>
          </w:tcPr>
          <w:p w14:paraId="6D4ED610" w14:textId="4ECA5D80" w:rsidR="00A476DC" w:rsidRPr="00A847A5" w:rsidRDefault="00A476DC" w:rsidP="00A476DC">
            <w:pPr>
              <w:jc w:val="center"/>
              <w:rPr>
                <w:rFonts w:ascii="Arial" w:eastAsiaTheme="minorEastAsia" w:hAnsi="Arial"/>
                <w:color w:val="000000"/>
                <w:sz w:val="18"/>
              </w:rPr>
            </w:pPr>
            <w:r>
              <w:rPr>
                <w:rFonts w:ascii="Calibri" w:hAnsi="Calibri"/>
                <w:color w:val="000000"/>
                <w:sz w:val="22"/>
                <w:szCs w:val="22"/>
              </w:rPr>
              <w:t>LED High/Low Bay:  &gt;=135 LPW, 227 to &lt;262 W</w:t>
            </w:r>
          </w:p>
        </w:tc>
        <w:tc>
          <w:tcPr>
            <w:tcW w:w="455" w:type="pct"/>
            <w:vAlign w:val="center"/>
          </w:tcPr>
          <w:p w14:paraId="04770A18" w14:textId="36A62FCC"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Tier 2</w:t>
            </w:r>
          </w:p>
        </w:tc>
        <w:tc>
          <w:tcPr>
            <w:tcW w:w="705" w:type="pct"/>
            <w:vAlign w:val="center"/>
          </w:tcPr>
          <w:p w14:paraId="65CAEBF2" w14:textId="5B482501"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0%</w:t>
            </w:r>
          </w:p>
        </w:tc>
        <w:tc>
          <w:tcPr>
            <w:tcW w:w="447" w:type="pct"/>
            <w:vAlign w:val="center"/>
          </w:tcPr>
          <w:p w14:paraId="34CA89B7" w14:textId="1A4E9254" w:rsidR="00A476DC" w:rsidRPr="00A847A5" w:rsidRDefault="00A476DC" w:rsidP="00A476DC">
            <w:pPr>
              <w:jc w:val="center"/>
              <w:rPr>
                <w:rFonts w:ascii="Arial" w:hAnsi="Arial" w:cs="Arial"/>
                <w:color w:val="000000"/>
                <w:sz w:val="20"/>
                <w:szCs w:val="20"/>
              </w:rPr>
            </w:pPr>
            <w:r w:rsidRPr="1AA8F051">
              <w:rPr>
                <w:rFonts w:ascii="Arial" w:hAnsi="Arial"/>
                <w:color w:val="000000" w:themeColor="text1"/>
                <w:sz w:val="20"/>
              </w:rPr>
              <w:t>100%</w:t>
            </w:r>
          </w:p>
        </w:tc>
      </w:tr>
    </w:tbl>
    <w:p w14:paraId="08DD99CA" w14:textId="77777777" w:rsidR="00570F86" w:rsidRDefault="00570F86" w:rsidP="00E332F9">
      <w:pPr>
        <w:rPr>
          <w:rFonts w:ascii="Arial" w:hAnsi="Arial" w:cs="Arial"/>
          <w:sz w:val="20"/>
          <w:szCs w:val="20"/>
        </w:rPr>
      </w:pPr>
    </w:p>
    <w:p w14:paraId="7E57B6DB" w14:textId="482365AB" w:rsidR="0055659A" w:rsidRDefault="0055659A" w:rsidP="0055659A">
      <w:pPr>
        <w:pStyle w:val="Heading3"/>
      </w:pPr>
      <w:bookmarkStart w:id="98" w:name="_Toc511038040"/>
      <w:bookmarkStart w:id="99" w:name="_Toc511244892"/>
      <w:r>
        <w:t>1.6.2 Inclusion of Early Retirement (ER)/Accelerated Replacement (AR) Measure Application Type</w:t>
      </w:r>
      <w:bookmarkEnd w:id="98"/>
      <w:bookmarkEnd w:id="99"/>
    </w:p>
    <w:p w14:paraId="4390627E" w14:textId="447EF650" w:rsidR="0055659A" w:rsidRPr="0057072C" w:rsidRDefault="0055659A" w:rsidP="00E332F9">
      <w:pPr>
        <w:rPr>
          <w:rFonts w:ascii="Arial" w:hAnsi="Arial" w:cs="Arial"/>
          <w:sz w:val="20"/>
          <w:szCs w:val="20"/>
        </w:rPr>
      </w:pPr>
      <w:r>
        <w:rPr>
          <w:rFonts w:ascii="Arial" w:hAnsi="Arial" w:cs="Arial"/>
          <w:sz w:val="20"/>
          <w:szCs w:val="20"/>
        </w:rPr>
        <w:t>PG&amp;E is currently investigating ER/AR measure application type offering for the next iteration of the workpaper.  The analysis will be derived from reviewing ER custom applications with a focus on customer segment(s) and geographical location(s).</w:t>
      </w:r>
      <w:r w:rsidR="00CB1003">
        <w:rPr>
          <w:rFonts w:ascii="Arial" w:hAnsi="Arial" w:cs="Arial"/>
          <w:sz w:val="20"/>
          <w:szCs w:val="20"/>
        </w:rPr>
        <w:t xml:space="preserve">  </w:t>
      </w:r>
      <w:r w:rsidR="00CB1003" w:rsidRPr="0057072C">
        <w:rPr>
          <w:rFonts w:ascii="Arial" w:hAnsi="Arial"/>
          <w:sz w:val="20"/>
        </w:rPr>
        <w:t>Resolution E-4818</w:t>
      </w:r>
      <w:r w:rsidR="00A476DC">
        <w:rPr>
          <w:rFonts w:ascii="Arial" w:hAnsi="Arial"/>
          <w:sz w:val="20"/>
        </w:rPr>
        <w:t xml:space="preserve"> and Track 2 Working Group</w:t>
      </w:r>
      <w:r w:rsidR="00CB1003" w:rsidRPr="0057072C">
        <w:rPr>
          <w:rFonts w:ascii="Arial" w:hAnsi="Arial"/>
          <w:sz w:val="20"/>
        </w:rPr>
        <w:t xml:space="preserve"> begins to set a framework for deemed program level ER adoption for Preponderance of Evidence.  </w:t>
      </w:r>
      <w:r w:rsidR="00A476DC">
        <w:rPr>
          <w:rFonts w:ascii="Arial" w:hAnsi="Arial"/>
          <w:sz w:val="20"/>
        </w:rPr>
        <w:t>Further Commission Staff guidance on ER will be forthcoming and incorporated into the final development of ER measure application type for deemed.</w:t>
      </w:r>
    </w:p>
    <w:p w14:paraId="1230CBB8" w14:textId="539E4585" w:rsidR="00E332F9" w:rsidRPr="00614D6C" w:rsidRDefault="00134D67" w:rsidP="00134D67">
      <w:pPr>
        <w:pStyle w:val="Heading3"/>
      </w:pPr>
      <w:bookmarkStart w:id="100" w:name="_Toc511038041"/>
      <w:bookmarkStart w:id="101" w:name="_Ref511172416"/>
      <w:bookmarkStart w:id="102" w:name="_Toc511244893"/>
      <w:r w:rsidRPr="0057072C">
        <w:t>1.6.3 Product</w:t>
      </w:r>
      <w:r w:rsidR="00614D6C" w:rsidRPr="0057072C">
        <w:t xml:space="preserve"> ID Collection Process</w:t>
      </w:r>
      <w:bookmarkEnd w:id="100"/>
      <w:bookmarkEnd w:id="101"/>
      <w:bookmarkEnd w:id="102"/>
    </w:p>
    <w:p w14:paraId="73592701" w14:textId="0DB2A007" w:rsidR="008C094E" w:rsidRDefault="00614D6C" w:rsidP="00710061">
      <w:pPr>
        <w:rPr>
          <w:highlight w:val="yellow"/>
        </w:rPr>
      </w:pPr>
      <w:r w:rsidRPr="00614D6C">
        <w:rPr>
          <w:rFonts w:ascii="Arial" w:hAnsi="Arial" w:cs="Arial"/>
          <w:sz w:val="20"/>
        </w:rPr>
        <w:t>As part of the IOUs’ future data needs, a more robust process to collect product information from program data is being implemented. It has been an ongoing challenge to run data analytics on existing Program data due to model number discrepancies from rebate application invoices and the DLC QPL. In order to address this challenge, IOUs propose to collect the unique DLC product ID in rebate applications. This unique identifier has no variation and can easily be used to match product information from program data to the performance metrics of these products listed on the DLC QPL. Collecting this additional information will allow IOU Programs to analyze program data to for savings calculations as well as future workpaper updates.</w:t>
      </w:r>
    </w:p>
    <w:p w14:paraId="6850CE1E" w14:textId="37B629B6" w:rsidR="00E05A95" w:rsidRPr="00E77B0E" w:rsidRDefault="001A6EC3" w:rsidP="001A6EC3">
      <w:pPr>
        <w:pStyle w:val="Heading3"/>
      </w:pPr>
      <w:bookmarkStart w:id="103" w:name="_Toc511038042"/>
      <w:bookmarkStart w:id="104" w:name="_Ref511168896"/>
      <w:bookmarkStart w:id="105" w:name="_Toc511244894"/>
      <w:r w:rsidRPr="00E77B0E">
        <w:t>1.6.4 DEER Limitation on Non-linear F</w:t>
      </w:r>
      <w:r w:rsidR="008C094E" w:rsidRPr="00E77B0E">
        <w:t>unctions</w:t>
      </w:r>
      <w:bookmarkEnd w:id="103"/>
      <w:bookmarkEnd w:id="104"/>
      <w:bookmarkEnd w:id="105"/>
      <w:r w:rsidR="008C094E" w:rsidRPr="00E77B0E">
        <w:t xml:space="preserve"> </w:t>
      </w:r>
    </w:p>
    <w:p w14:paraId="03B1C657" w14:textId="4B519AFB" w:rsidR="00E079AA" w:rsidRPr="00E079AA" w:rsidRDefault="00E079AA" w:rsidP="00E079AA">
      <w:pPr>
        <w:rPr>
          <w:rFonts w:ascii="Arial" w:hAnsi="Arial" w:cs="Arial"/>
          <w:sz w:val="20"/>
          <w:szCs w:val="20"/>
        </w:rPr>
      </w:pPr>
      <w:r w:rsidRPr="00E77B0E">
        <w:rPr>
          <w:rFonts w:ascii="Arial" w:hAnsi="Arial"/>
          <w:sz w:val="20"/>
        </w:rPr>
        <w:t xml:space="preserve">DEER currently can accept only a constant value of cost per unit of measure. Navigant’s LED Pricing Analysis Study has identified lumen output as the factor most correlated with price, but the relationship is neither linear nor without a constant term.  The cost of the metal housing for a fixture might be constant, rather than scaling with light output.  </w:t>
      </w:r>
      <w:r w:rsidR="00E77B0E">
        <w:rPr>
          <w:rFonts w:ascii="Arial" w:hAnsi="Arial" w:cs="Arial"/>
          <w:sz w:val="20"/>
          <w:szCs w:val="20"/>
        </w:rPr>
        <w:t>PG&amp;E would</w:t>
      </w:r>
      <w:r w:rsidRPr="00E77B0E">
        <w:rPr>
          <w:rFonts w:ascii="Arial" w:hAnsi="Arial"/>
          <w:sz w:val="20"/>
        </w:rPr>
        <w:t xml:space="preserve"> like to explore in the longer term how DEER could accommodate a non-linear relationship such as a logarithmic relationship between light output and price. Linearly scaling prices, efficacies, and costs across such a wide range</w:t>
      </w:r>
      <w:r w:rsidR="00CD3B08" w:rsidRPr="00E77B0E">
        <w:rPr>
          <w:rFonts w:ascii="Arial" w:hAnsi="Arial"/>
          <w:sz w:val="20"/>
        </w:rPr>
        <w:t xml:space="preserve"> of lumens</w:t>
      </w:r>
      <w:r w:rsidRPr="00E77B0E">
        <w:rPr>
          <w:rFonts w:ascii="Arial" w:hAnsi="Arial"/>
          <w:sz w:val="20"/>
        </w:rPr>
        <w:t xml:space="preserve"> prove a limiting factor, </w:t>
      </w:r>
      <w:r w:rsidRPr="00E77B0E">
        <w:rPr>
          <w:rFonts w:ascii="Arial" w:hAnsi="Arial"/>
          <w:sz w:val="20"/>
        </w:rPr>
        <w:lastRenderedPageBreak/>
        <w:t>until such time as DEER can accept values from functions that scale other than linearly with the defined unit.</w:t>
      </w:r>
    </w:p>
    <w:p w14:paraId="2318B5CC" w14:textId="75169FE2" w:rsidR="00AF44E8" w:rsidRDefault="00414E64" w:rsidP="00E079AA">
      <w:pPr>
        <w:pStyle w:val="Heading3"/>
      </w:pPr>
      <w:bookmarkStart w:id="106" w:name="_Toc511038043"/>
      <w:bookmarkStart w:id="107" w:name="_Ref510940043"/>
      <w:bookmarkStart w:id="108" w:name="_Toc511244895"/>
      <w:r w:rsidRPr="00A81C79">
        <w:t xml:space="preserve">1.6.5 </w:t>
      </w:r>
      <w:r w:rsidR="00AF44E8">
        <w:t>Lighting</w:t>
      </w:r>
      <w:r w:rsidR="004075BD">
        <w:t xml:space="preserve"> </w:t>
      </w:r>
      <w:r w:rsidR="00AF44E8">
        <w:t>Facts LED Database</w:t>
      </w:r>
      <w:bookmarkEnd w:id="106"/>
      <w:bookmarkEnd w:id="108"/>
    </w:p>
    <w:p w14:paraId="5145F0A3" w14:textId="790F320C" w:rsidR="00AF44E8" w:rsidRPr="00AF44E8" w:rsidRDefault="00AF44E8" w:rsidP="00AF44E8">
      <w:pPr>
        <w:rPr>
          <w:rFonts w:ascii="Arial" w:hAnsi="Arial" w:cs="Arial"/>
          <w:sz w:val="20"/>
          <w:szCs w:val="20"/>
        </w:rPr>
      </w:pPr>
      <w:r w:rsidRPr="00AF44E8">
        <w:rPr>
          <w:rFonts w:ascii="Arial" w:hAnsi="Arial" w:cs="Arial"/>
          <w:sz w:val="20"/>
          <w:szCs w:val="20"/>
        </w:rPr>
        <w:t>Lighting</w:t>
      </w:r>
      <w:r w:rsidR="004075BD">
        <w:rPr>
          <w:rFonts w:ascii="Arial" w:hAnsi="Arial" w:cs="Arial"/>
          <w:sz w:val="20"/>
          <w:szCs w:val="20"/>
        </w:rPr>
        <w:t xml:space="preserve"> </w:t>
      </w:r>
      <w:r w:rsidRPr="00AF44E8">
        <w:rPr>
          <w:rFonts w:ascii="Arial" w:hAnsi="Arial" w:cs="Arial"/>
          <w:sz w:val="20"/>
          <w:szCs w:val="20"/>
        </w:rPr>
        <w:t>Facts offers many benefits as a data source for a full characterization of the LED market:</w:t>
      </w:r>
    </w:p>
    <w:p w14:paraId="032D7AE1" w14:textId="44D16EC2"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Up-to-date product offerings</w:t>
      </w:r>
    </w:p>
    <w:p w14:paraId="02CFBF2B" w14:textId="785E6CF9"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Large sample size (~</w:t>
      </w:r>
      <w:r w:rsidR="00E77B0E">
        <w:rPr>
          <w:rFonts w:ascii="Arial" w:hAnsi="Arial" w:cs="Arial"/>
          <w:sz w:val="20"/>
          <w:szCs w:val="20"/>
        </w:rPr>
        <w:t>12,500 industrial</w:t>
      </w:r>
      <w:r w:rsidRPr="00AF44E8">
        <w:rPr>
          <w:rFonts w:ascii="Arial" w:hAnsi="Arial" w:cs="Arial"/>
          <w:sz w:val="20"/>
          <w:szCs w:val="20"/>
        </w:rPr>
        <w:t xml:space="preserve"> products)</w:t>
      </w:r>
    </w:p>
    <w:p w14:paraId="76E5754A" w14:textId="1A017BCE"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Product performance data previously accepted by CalTF and Ex-Ante Review team in the LED Troffer workpaper</w:t>
      </w:r>
    </w:p>
    <w:p w14:paraId="5BD19036" w14:textId="6EAA6549"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Ability to filter by year, so that older products could be excluded from the efficacy sampling</w:t>
      </w:r>
    </w:p>
    <w:p w14:paraId="1DF849B6" w14:textId="24C9677D" w:rsid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Important distinctions by primary use: Lighting</w:t>
      </w:r>
      <w:r w:rsidR="004075BD">
        <w:rPr>
          <w:rFonts w:ascii="Arial" w:hAnsi="Arial" w:cs="Arial"/>
          <w:sz w:val="20"/>
          <w:szCs w:val="20"/>
        </w:rPr>
        <w:t xml:space="preserve"> </w:t>
      </w:r>
      <w:r w:rsidRPr="00AF44E8">
        <w:rPr>
          <w:rFonts w:ascii="Arial" w:hAnsi="Arial" w:cs="Arial"/>
          <w:sz w:val="20"/>
          <w:szCs w:val="20"/>
        </w:rPr>
        <w:t>Facts captures the lower LPW values typical of Wall-mounted LEDs on the market.</w:t>
      </w:r>
    </w:p>
    <w:p w14:paraId="2EEBFF0D" w14:textId="0575C7E3" w:rsidR="00EE4F41" w:rsidRDefault="00EE4F41" w:rsidP="00EE4F41">
      <w:pPr>
        <w:rPr>
          <w:rFonts w:ascii="Arial" w:hAnsi="Arial" w:cs="Arial"/>
          <w:sz w:val="20"/>
          <w:szCs w:val="20"/>
        </w:rPr>
      </w:pPr>
      <w:bookmarkStart w:id="109" w:name="_Hlk510989238"/>
    </w:p>
    <w:p w14:paraId="1281FADA" w14:textId="268659DD" w:rsidR="00EE4F41" w:rsidRPr="00EE4F41" w:rsidRDefault="00EE4F41" w:rsidP="00EE4F41">
      <w:pPr>
        <w:rPr>
          <w:rFonts w:ascii="Arial" w:hAnsi="Arial" w:cs="Arial"/>
          <w:sz w:val="20"/>
          <w:szCs w:val="20"/>
        </w:rPr>
      </w:pPr>
      <w:bookmarkStart w:id="110" w:name="_Hlk510967141"/>
      <w:r>
        <w:rPr>
          <w:rFonts w:ascii="Arial" w:hAnsi="Arial" w:cs="Arial"/>
          <w:sz w:val="20"/>
          <w:szCs w:val="20"/>
        </w:rPr>
        <w:t>Unfortunately,</w:t>
      </w:r>
      <w:r w:rsidR="004075BD">
        <w:rPr>
          <w:rFonts w:ascii="Arial" w:hAnsi="Arial" w:cs="Arial"/>
          <w:sz w:val="20"/>
          <w:szCs w:val="20"/>
        </w:rPr>
        <w:t xml:space="preserve"> as of March 31, 2018,</w:t>
      </w:r>
      <w:r>
        <w:rPr>
          <w:rFonts w:ascii="Arial" w:hAnsi="Arial" w:cs="Arial"/>
          <w:sz w:val="20"/>
          <w:szCs w:val="20"/>
        </w:rPr>
        <w:t xml:space="preserve"> the Department of Energy </w:t>
      </w:r>
      <w:r w:rsidR="004075BD">
        <w:rPr>
          <w:rFonts w:ascii="Arial" w:hAnsi="Arial" w:cs="Arial"/>
          <w:sz w:val="20"/>
          <w:szCs w:val="20"/>
        </w:rPr>
        <w:t xml:space="preserve">has </w:t>
      </w:r>
      <w:r>
        <w:rPr>
          <w:rFonts w:ascii="Arial" w:hAnsi="Arial" w:cs="Arial"/>
          <w:sz w:val="20"/>
          <w:szCs w:val="20"/>
        </w:rPr>
        <w:t>end</w:t>
      </w:r>
      <w:r w:rsidR="004075BD">
        <w:rPr>
          <w:rFonts w:ascii="Arial" w:hAnsi="Arial" w:cs="Arial"/>
          <w:sz w:val="20"/>
          <w:szCs w:val="20"/>
        </w:rPr>
        <w:t>ed</w:t>
      </w:r>
      <w:r>
        <w:rPr>
          <w:rFonts w:ascii="Arial" w:hAnsi="Arial" w:cs="Arial"/>
          <w:sz w:val="20"/>
          <w:szCs w:val="20"/>
        </w:rPr>
        <w:t xml:space="preserve"> future funding for the Lightin</w:t>
      </w:r>
      <w:r w:rsidR="00D57F5A">
        <w:rPr>
          <w:rFonts w:ascii="Arial" w:hAnsi="Arial" w:cs="Arial"/>
          <w:sz w:val="20"/>
          <w:szCs w:val="20"/>
        </w:rPr>
        <w:t>g</w:t>
      </w:r>
      <w:r w:rsidR="004075BD">
        <w:rPr>
          <w:rFonts w:ascii="Arial" w:hAnsi="Arial" w:cs="Arial"/>
          <w:sz w:val="20"/>
          <w:szCs w:val="20"/>
        </w:rPr>
        <w:t xml:space="preserve"> </w:t>
      </w:r>
      <w:r w:rsidR="00D57F5A">
        <w:rPr>
          <w:rFonts w:ascii="Arial" w:hAnsi="Arial" w:cs="Arial"/>
          <w:sz w:val="20"/>
          <w:szCs w:val="20"/>
        </w:rPr>
        <w:t>Facts label program.  Other data sources will need to be cons</w:t>
      </w:r>
      <w:r w:rsidR="0057072C">
        <w:rPr>
          <w:rFonts w:ascii="Arial" w:hAnsi="Arial" w:cs="Arial"/>
          <w:sz w:val="20"/>
          <w:szCs w:val="20"/>
        </w:rPr>
        <w:t>idered in lieu of Lighting</w:t>
      </w:r>
      <w:r w:rsidR="004075BD">
        <w:rPr>
          <w:rFonts w:ascii="Arial" w:hAnsi="Arial" w:cs="Arial"/>
          <w:sz w:val="20"/>
          <w:szCs w:val="20"/>
        </w:rPr>
        <w:t xml:space="preserve"> </w:t>
      </w:r>
      <w:r w:rsidR="0057072C">
        <w:rPr>
          <w:rFonts w:ascii="Arial" w:hAnsi="Arial" w:cs="Arial"/>
          <w:sz w:val="20"/>
          <w:szCs w:val="20"/>
        </w:rPr>
        <w:t xml:space="preserve">Facts </w:t>
      </w:r>
      <w:r w:rsidR="004075BD">
        <w:rPr>
          <w:rFonts w:ascii="Arial" w:hAnsi="Arial" w:cs="Arial"/>
          <w:sz w:val="20"/>
          <w:szCs w:val="20"/>
        </w:rPr>
        <w:t xml:space="preserve">such as </w:t>
      </w:r>
      <w:r w:rsidR="0057072C">
        <w:rPr>
          <w:rFonts w:ascii="Arial" w:hAnsi="Arial" w:cs="Arial"/>
          <w:sz w:val="20"/>
          <w:szCs w:val="20"/>
        </w:rPr>
        <w:t>the data that will be collected for the Navigant LED Market Characterization study.</w:t>
      </w:r>
    </w:p>
    <w:p w14:paraId="39C86D49" w14:textId="290BC187" w:rsidR="00134D67" w:rsidRPr="00A81C79" w:rsidRDefault="00AF44E8" w:rsidP="00E079AA">
      <w:pPr>
        <w:pStyle w:val="Heading3"/>
      </w:pPr>
      <w:bookmarkStart w:id="111" w:name="_Toc511038044"/>
      <w:bookmarkStart w:id="112" w:name="_Toc511244896"/>
      <w:bookmarkEnd w:id="110"/>
      <w:bookmarkEnd w:id="109"/>
      <w:r>
        <w:t>1.6.6</w:t>
      </w:r>
      <w:r w:rsidR="00414E64" w:rsidRPr="00A81C79">
        <w:t xml:space="preserve"> Cost </w:t>
      </w:r>
      <w:r w:rsidR="00134D67" w:rsidRPr="00A81C79">
        <w:t>Data Quality</w:t>
      </w:r>
      <w:bookmarkEnd w:id="107"/>
      <w:bookmarkEnd w:id="111"/>
      <w:bookmarkEnd w:id="112"/>
    </w:p>
    <w:p w14:paraId="6D660D62" w14:textId="1A08F31A" w:rsidR="00A81C79" w:rsidRDefault="00A81C79" w:rsidP="00A81C79">
      <w:pPr>
        <w:rPr>
          <w:rFonts w:ascii="Arial" w:hAnsi="Arial" w:cs="Arial"/>
          <w:sz w:val="20"/>
          <w:szCs w:val="20"/>
        </w:rPr>
      </w:pPr>
      <w:bookmarkStart w:id="113" w:name="_Hlk510989352"/>
      <w:r>
        <w:rPr>
          <w:rFonts w:ascii="Arial" w:hAnsi="Arial" w:cs="Arial"/>
          <w:sz w:val="20"/>
          <w:szCs w:val="20"/>
        </w:rPr>
        <w:t>The following data sources were consulted to develop the base case and measure case costs:</w:t>
      </w:r>
    </w:p>
    <w:p w14:paraId="7F1C4AC1" w14:textId="132E837E" w:rsidR="00A81C79" w:rsidRDefault="00A81C79" w:rsidP="006666F0">
      <w:pPr>
        <w:pStyle w:val="ListParagraph"/>
        <w:numPr>
          <w:ilvl w:val="0"/>
          <w:numId w:val="16"/>
        </w:numPr>
        <w:rPr>
          <w:rFonts w:ascii="Arial" w:hAnsi="Arial" w:cs="Arial"/>
          <w:sz w:val="20"/>
          <w:szCs w:val="20"/>
        </w:rPr>
      </w:pPr>
      <w:r>
        <w:rPr>
          <w:rFonts w:ascii="Arial" w:hAnsi="Arial" w:cs="Arial"/>
          <w:sz w:val="20"/>
          <w:szCs w:val="20"/>
        </w:rPr>
        <w:t xml:space="preserve">PG&amp;E Program Data </w:t>
      </w:r>
    </w:p>
    <w:p w14:paraId="17EECE47" w14:textId="77777777" w:rsidR="00A81C79" w:rsidRDefault="00A81C79" w:rsidP="006666F0">
      <w:pPr>
        <w:pStyle w:val="ListParagraph"/>
        <w:numPr>
          <w:ilvl w:val="0"/>
          <w:numId w:val="16"/>
        </w:numPr>
        <w:rPr>
          <w:rFonts w:ascii="Arial" w:hAnsi="Arial" w:cs="Arial"/>
          <w:sz w:val="20"/>
          <w:szCs w:val="20"/>
        </w:rPr>
      </w:pPr>
      <w:r>
        <w:rPr>
          <w:rFonts w:ascii="Arial" w:hAnsi="Arial" w:cs="Arial"/>
          <w:sz w:val="20"/>
          <w:szCs w:val="20"/>
        </w:rPr>
        <w:t>SCE Program Data</w:t>
      </w:r>
    </w:p>
    <w:p w14:paraId="38615014" w14:textId="77777777" w:rsidR="00A81C79" w:rsidRDefault="00A81C79" w:rsidP="006666F0">
      <w:pPr>
        <w:pStyle w:val="ListParagraph"/>
        <w:numPr>
          <w:ilvl w:val="0"/>
          <w:numId w:val="16"/>
        </w:numPr>
        <w:rPr>
          <w:rFonts w:ascii="Arial" w:hAnsi="Arial" w:cs="Arial"/>
          <w:sz w:val="20"/>
          <w:szCs w:val="20"/>
        </w:rPr>
      </w:pPr>
      <w:r>
        <w:rPr>
          <w:rFonts w:ascii="Arial" w:hAnsi="Arial" w:cs="Arial"/>
          <w:sz w:val="20"/>
          <w:szCs w:val="20"/>
        </w:rPr>
        <w:t>Navigant Data</w:t>
      </w:r>
    </w:p>
    <w:p w14:paraId="0849DF11" w14:textId="77777777" w:rsidR="00A81C79" w:rsidRDefault="00A81C79" w:rsidP="006666F0">
      <w:pPr>
        <w:pStyle w:val="ListParagraph"/>
        <w:numPr>
          <w:ilvl w:val="1"/>
          <w:numId w:val="16"/>
        </w:numPr>
        <w:rPr>
          <w:rFonts w:ascii="Arial" w:hAnsi="Arial" w:cs="Arial"/>
          <w:sz w:val="20"/>
          <w:szCs w:val="20"/>
        </w:rPr>
      </w:pPr>
      <w:r>
        <w:rPr>
          <w:rFonts w:ascii="Arial" w:hAnsi="Arial" w:cs="Arial"/>
          <w:sz w:val="20"/>
          <w:szCs w:val="20"/>
        </w:rPr>
        <w:t>Raw from the Price Tracker</w:t>
      </w:r>
    </w:p>
    <w:p w14:paraId="14FF53D0" w14:textId="77777777" w:rsidR="00A81C79" w:rsidRPr="00066844" w:rsidRDefault="00A81C79" w:rsidP="006666F0">
      <w:pPr>
        <w:pStyle w:val="ListParagraph"/>
        <w:numPr>
          <w:ilvl w:val="1"/>
          <w:numId w:val="16"/>
        </w:numPr>
        <w:rPr>
          <w:rFonts w:ascii="Arial" w:hAnsi="Arial" w:cs="Arial"/>
          <w:sz w:val="20"/>
          <w:szCs w:val="20"/>
        </w:rPr>
      </w:pPr>
      <w:r w:rsidRPr="00066844">
        <w:rPr>
          <w:rFonts w:ascii="Arial" w:hAnsi="Arial" w:cs="Arial"/>
          <w:sz w:val="20"/>
          <w:szCs w:val="20"/>
        </w:rPr>
        <w:t>Values from the cost model</w:t>
      </w:r>
    </w:p>
    <w:p w14:paraId="223F14BA" w14:textId="77777777" w:rsidR="00A81C79" w:rsidRDefault="00A81C79" w:rsidP="006666F0">
      <w:pPr>
        <w:pStyle w:val="ListParagraph"/>
        <w:numPr>
          <w:ilvl w:val="0"/>
          <w:numId w:val="16"/>
        </w:numPr>
        <w:rPr>
          <w:rFonts w:ascii="Arial" w:hAnsi="Arial" w:cs="Arial"/>
          <w:sz w:val="20"/>
          <w:szCs w:val="20"/>
        </w:rPr>
      </w:pPr>
      <w:r w:rsidRPr="00066844">
        <w:rPr>
          <w:rFonts w:ascii="Arial" w:hAnsi="Arial" w:cs="Arial"/>
          <w:sz w:val="20"/>
          <w:szCs w:val="20"/>
        </w:rPr>
        <w:t>Online pricing</w:t>
      </w:r>
    </w:p>
    <w:p w14:paraId="137D2FDC" w14:textId="2391D051" w:rsidR="00717C3B" w:rsidRDefault="00717C3B" w:rsidP="00E94C25"/>
    <w:p w14:paraId="38D1E5DF" w14:textId="3D5358EB" w:rsidR="00717C3B" w:rsidRPr="00E94C25" w:rsidRDefault="00717C3B" w:rsidP="00E94C25">
      <w:pPr>
        <w:rPr>
          <w:rFonts w:ascii="Arial" w:hAnsi="Arial" w:cs="Arial"/>
          <w:sz w:val="20"/>
          <w:szCs w:val="20"/>
        </w:rPr>
      </w:pPr>
      <w:r w:rsidRPr="00717C3B">
        <w:rPr>
          <w:rFonts w:ascii="Arial" w:hAnsi="Arial" w:cs="Arial"/>
          <w:sz w:val="20"/>
          <w:szCs w:val="20"/>
        </w:rPr>
        <w:t>As detailed below, these cost determination approaches did not yield reliable incremental measure costs. Until further analysis can be conducted, incremental measure cost</w:t>
      </w:r>
      <w:r>
        <w:rPr>
          <w:rFonts w:ascii="Arial" w:hAnsi="Arial" w:cs="Arial"/>
          <w:sz w:val="20"/>
          <w:szCs w:val="20"/>
        </w:rPr>
        <w:t>s have been determined based on proposed d</w:t>
      </w:r>
      <w:r w:rsidRPr="00717C3B">
        <w:rPr>
          <w:rFonts w:ascii="Arial" w:hAnsi="Arial" w:cs="Arial"/>
          <w:sz w:val="20"/>
          <w:szCs w:val="20"/>
        </w:rPr>
        <w:t xml:space="preserve">eemed rebate levels </w:t>
      </w:r>
      <w:r>
        <w:rPr>
          <w:rFonts w:ascii="Arial" w:hAnsi="Arial" w:cs="Arial"/>
          <w:sz w:val="20"/>
          <w:szCs w:val="20"/>
        </w:rPr>
        <w:t>that will be effective upon approval of this workpaper</w:t>
      </w:r>
      <w:r w:rsidRPr="00717C3B">
        <w:rPr>
          <w:rFonts w:ascii="Arial" w:hAnsi="Arial" w:cs="Arial"/>
          <w:sz w:val="20"/>
          <w:szCs w:val="20"/>
        </w:rPr>
        <w:t>, and will be applied for this revision only as an interim solution.</w:t>
      </w:r>
      <w:r>
        <w:rPr>
          <w:rFonts w:ascii="Arial" w:hAnsi="Arial" w:cs="Arial"/>
          <w:sz w:val="20"/>
          <w:szCs w:val="20"/>
        </w:rPr>
        <w:t xml:space="preserve"> This option is described in further detail in Section 4 on Base and Measure Costs.</w:t>
      </w:r>
    </w:p>
    <w:bookmarkEnd w:id="113"/>
    <w:p w14:paraId="36B27541" w14:textId="77777777" w:rsidR="00A81C79" w:rsidRPr="00066844" w:rsidRDefault="00A81C79" w:rsidP="00130C40">
      <w:pPr>
        <w:rPr>
          <w:rFonts w:ascii="Arial" w:hAnsi="Arial" w:cs="Arial"/>
          <w:sz w:val="20"/>
          <w:szCs w:val="20"/>
        </w:rPr>
      </w:pPr>
    </w:p>
    <w:p w14:paraId="39A82F98" w14:textId="4A24A548" w:rsidR="00B17023" w:rsidRDefault="00066844" w:rsidP="00130C40">
      <w:pPr>
        <w:rPr>
          <w:rFonts w:ascii="Arial" w:hAnsi="Arial" w:cs="Arial"/>
          <w:sz w:val="20"/>
          <w:szCs w:val="20"/>
        </w:rPr>
      </w:pPr>
      <w:bookmarkStart w:id="114" w:name="_Hlk510989434"/>
      <w:r w:rsidRPr="00066844">
        <w:rPr>
          <w:rFonts w:ascii="Arial" w:hAnsi="Arial" w:cs="Arial"/>
          <w:b/>
          <w:sz w:val="20"/>
          <w:szCs w:val="20"/>
        </w:rPr>
        <w:t>PG&amp;E Program Data:</w:t>
      </w:r>
      <w:r w:rsidRPr="00066844">
        <w:rPr>
          <w:rFonts w:ascii="Arial" w:hAnsi="Arial" w:cs="Arial"/>
          <w:sz w:val="20"/>
          <w:szCs w:val="20"/>
        </w:rPr>
        <w:t xml:space="preserve">  </w:t>
      </w:r>
      <w:bookmarkEnd w:id="114"/>
      <w:r w:rsidRPr="00066844">
        <w:rPr>
          <w:rFonts w:ascii="Arial" w:hAnsi="Arial" w:cs="Arial"/>
          <w:sz w:val="20"/>
          <w:szCs w:val="20"/>
        </w:rPr>
        <w:t>The raw data file cleaned of customer information can be found as Attachment 2.  There were 3403 applications received from 1/1/2016 through 3/29/2018.</w:t>
      </w:r>
      <w:r>
        <w:rPr>
          <w:rFonts w:ascii="Arial" w:hAnsi="Arial" w:cs="Arial"/>
          <w:sz w:val="20"/>
          <w:szCs w:val="20"/>
        </w:rPr>
        <w:t xml:space="preserve">  </w:t>
      </w:r>
      <w:bookmarkStart w:id="115" w:name="_Hlk510989481"/>
      <w:r w:rsidR="00F12673">
        <w:rPr>
          <w:rFonts w:ascii="Arial" w:hAnsi="Arial" w:cs="Arial"/>
          <w:sz w:val="20"/>
          <w:szCs w:val="20"/>
        </w:rPr>
        <w:t>O</w:t>
      </w:r>
      <w:r>
        <w:rPr>
          <w:rFonts w:ascii="Arial" w:hAnsi="Arial" w:cs="Arial"/>
          <w:sz w:val="20"/>
          <w:szCs w:val="20"/>
        </w:rPr>
        <w:t xml:space="preserve">ne of the </w:t>
      </w:r>
      <w:r w:rsidR="00F12673">
        <w:rPr>
          <w:rFonts w:ascii="Arial" w:hAnsi="Arial" w:cs="Arial"/>
          <w:sz w:val="20"/>
          <w:szCs w:val="20"/>
        </w:rPr>
        <w:t>challenges</w:t>
      </w:r>
      <w:r>
        <w:rPr>
          <w:rFonts w:ascii="Arial" w:hAnsi="Arial" w:cs="Arial"/>
          <w:sz w:val="20"/>
          <w:szCs w:val="20"/>
        </w:rPr>
        <w:t xml:space="preserve"> with the data was acquiring the wattage, lumen output, and efficacy of the rebated fixture</w:t>
      </w:r>
      <w:r w:rsidR="00F12673">
        <w:rPr>
          <w:rFonts w:ascii="Arial" w:hAnsi="Arial" w:cs="Arial"/>
          <w:sz w:val="20"/>
          <w:szCs w:val="20"/>
        </w:rPr>
        <w:t xml:space="preserve"> because the unique Product ID that matches with the listed DLC fixture </w:t>
      </w:r>
      <w:r w:rsidR="005F3EB4">
        <w:rPr>
          <w:rFonts w:ascii="Arial" w:hAnsi="Arial" w:cs="Arial"/>
          <w:sz w:val="20"/>
          <w:szCs w:val="20"/>
        </w:rPr>
        <w:t>has</w:t>
      </w:r>
      <w:r w:rsidR="00F12673">
        <w:rPr>
          <w:rFonts w:ascii="Arial" w:hAnsi="Arial" w:cs="Arial"/>
          <w:sz w:val="20"/>
          <w:szCs w:val="20"/>
        </w:rPr>
        <w:t xml:space="preserve"> not yet </w:t>
      </w:r>
      <w:r w:rsidR="005F3EB4">
        <w:rPr>
          <w:rFonts w:ascii="Arial" w:hAnsi="Arial" w:cs="Arial"/>
          <w:sz w:val="20"/>
          <w:szCs w:val="20"/>
        </w:rPr>
        <w:t>been implemented</w:t>
      </w:r>
      <w:r w:rsidR="00F12673">
        <w:rPr>
          <w:rFonts w:ascii="Arial" w:hAnsi="Arial" w:cs="Arial"/>
          <w:sz w:val="20"/>
          <w:szCs w:val="20"/>
        </w:rPr>
        <w:t xml:space="preserve"> as part of application processing. A</w:t>
      </w:r>
      <w:r w:rsidR="00C66F13">
        <w:rPr>
          <w:rFonts w:ascii="Arial" w:hAnsi="Arial" w:cs="Arial"/>
          <w:sz w:val="20"/>
          <w:szCs w:val="20"/>
        </w:rPr>
        <w:t>dditionally, a</w:t>
      </w:r>
      <w:r w:rsidR="00F12673">
        <w:rPr>
          <w:rFonts w:ascii="Arial" w:hAnsi="Arial" w:cs="Arial"/>
          <w:sz w:val="20"/>
          <w:szCs w:val="20"/>
        </w:rPr>
        <w:t xml:space="preserve">pproximately 680 </w:t>
      </w:r>
      <w:r w:rsidR="00C66F13">
        <w:rPr>
          <w:rFonts w:ascii="Arial" w:hAnsi="Arial" w:cs="Arial"/>
          <w:sz w:val="20"/>
          <w:szCs w:val="20"/>
        </w:rPr>
        <w:t xml:space="preserve">applications </w:t>
      </w:r>
      <w:r w:rsidR="00F12673">
        <w:rPr>
          <w:rFonts w:ascii="Arial" w:hAnsi="Arial" w:cs="Arial"/>
          <w:sz w:val="20"/>
          <w:szCs w:val="20"/>
        </w:rPr>
        <w:t>(20%</w:t>
      </w:r>
      <w:r w:rsidR="00C66F13">
        <w:rPr>
          <w:rFonts w:ascii="Arial" w:hAnsi="Arial" w:cs="Arial"/>
          <w:sz w:val="20"/>
          <w:szCs w:val="20"/>
        </w:rPr>
        <w:t xml:space="preserve"> of all received records</w:t>
      </w:r>
      <w:r w:rsidR="00F12673">
        <w:rPr>
          <w:rFonts w:ascii="Arial" w:hAnsi="Arial" w:cs="Arial"/>
          <w:sz w:val="20"/>
          <w:szCs w:val="20"/>
        </w:rPr>
        <w:t xml:space="preserve">) did not contain a manufacturer and model number as it might be tracked elsewhere.  Since the manufacturer and model number is inconsistent from application to application, an approximate logic was used to match with the rebated fixture with the DLC list.  From there, the </w:t>
      </w:r>
      <w:r w:rsidR="00F72183">
        <w:rPr>
          <w:rFonts w:ascii="Arial" w:hAnsi="Arial" w:cs="Arial"/>
          <w:sz w:val="20"/>
          <w:szCs w:val="20"/>
        </w:rPr>
        <w:t xml:space="preserve">wattage, lumen output, and efficacy of the rebated fixtures </w:t>
      </w:r>
      <w:r w:rsidR="00C66F13">
        <w:rPr>
          <w:rFonts w:ascii="Arial" w:hAnsi="Arial" w:cs="Arial"/>
          <w:sz w:val="20"/>
          <w:szCs w:val="20"/>
        </w:rPr>
        <w:t>was</w:t>
      </w:r>
      <w:r w:rsidR="00F72183">
        <w:rPr>
          <w:rFonts w:ascii="Arial" w:hAnsi="Arial" w:cs="Arial"/>
          <w:sz w:val="20"/>
          <w:szCs w:val="20"/>
        </w:rPr>
        <w:t xml:space="preserve"> acquired.  </w:t>
      </w:r>
      <w:r w:rsidR="00F12673">
        <w:rPr>
          <w:rFonts w:ascii="Arial" w:hAnsi="Arial" w:cs="Arial"/>
          <w:sz w:val="20"/>
          <w:szCs w:val="20"/>
        </w:rPr>
        <w:t>T</w:t>
      </w:r>
      <w:r>
        <w:rPr>
          <w:rFonts w:ascii="Arial" w:hAnsi="Arial" w:cs="Arial"/>
          <w:sz w:val="20"/>
          <w:szCs w:val="20"/>
        </w:rPr>
        <w:t xml:space="preserve">here </w:t>
      </w:r>
      <w:r w:rsidR="00C66F13">
        <w:rPr>
          <w:rFonts w:ascii="Arial" w:hAnsi="Arial" w:cs="Arial"/>
          <w:sz w:val="20"/>
          <w:szCs w:val="20"/>
        </w:rPr>
        <w:t>were</w:t>
      </w:r>
      <w:r>
        <w:rPr>
          <w:rFonts w:ascii="Arial" w:hAnsi="Arial" w:cs="Arial"/>
          <w:sz w:val="20"/>
          <w:szCs w:val="20"/>
        </w:rPr>
        <w:t xml:space="preserve"> 2078</w:t>
      </w:r>
      <w:r w:rsidR="00C66F13">
        <w:rPr>
          <w:rFonts w:ascii="Arial" w:hAnsi="Arial" w:cs="Arial"/>
          <w:sz w:val="20"/>
          <w:szCs w:val="20"/>
        </w:rPr>
        <w:t xml:space="preserve"> (61% of all received records)</w:t>
      </w:r>
      <w:r>
        <w:rPr>
          <w:rFonts w:ascii="Arial" w:hAnsi="Arial" w:cs="Arial"/>
          <w:sz w:val="20"/>
          <w:szCs w:val="20"/>
        </w:rPr>
        <w:t xml:space="preserve"> matches with the manufacturer and model number</w:t>
      </w:r>
      <w:r w:rsidR="00C66F13">
        <w:rPr>
          <w:rFonts w:ascii="Arial" w:hAnsi="Arial" w:cs="Arial"/>
          <w:sz w:val="20"/>
          <w:szCs w:val="20"/>
        </w:rPr>
        <w:t>.  Out of the 2078 matches, 1</w:t>
      </w:r>
      <w:r>
        <w:rPr>
          <w:rFonts w:ascii="Arial" w:hAnsi="Arial" w:cs="Arial"/>
          <w:sz w:val="20"/>
          <w:szCs w:val="20"/>
        </w:rPr>
        <w:t>814</w:t>
      </w:r>
      <w:r w:rsidR="00C66F13">
        <w:rPr>
          <w:rFonts w:ascii="Arial" w:hAnsi="Arial" w:cs="Arial"/>
          <w:sz w:val="20"/>
          <w:szCs w:val="20"/>
        </w:rPr>
        <w:t xml:space="preserve"> (53% of all received records)</w:t>
      </w:r>
      <w:r>
        <w:rPr>
          <w:rFonts w:ascii="Arial" w:hAnsi="Arial" w:cs="Arial"/>
          <w:sz w:val="20"/>
          <w:szCs w:val="20"/>
        </w:rPr>
        <w:t xml:space="preserve"> applications</w:t>
      </w:r>
      <w:r w:rsidR="00C66F13">
        <w:rPr>
          <w:rFonts w:ascii="Arial" w:hAnsi="Arial" w:cs="Arial"/>
          <w:sz w:val="20"/>
          <w:szCs w:val="20"/>
        </w:rPr>
        <w:t xml:space="preserve"> were</w:t>
      </w:r>
      <w:r>
        <w:rPr>
          <w:rFonts w:ascii="Arial" w:hAnsi="Arial" w:cs="Arial"/>
          <w:sz w:val="20"/>
          <w:szCs w:val="20"/>
        </w:rPr>
        <w:t xml:space="preserve"> used for the cost analysis</w:t>
      </w:r>
      <w:r w:rsidR="00B17023">
        <w:rPr>
          <w:rFonts w:ascii="Arial" w:hAnsi="Arial" w:cs="Arial"/>
          <w:sz w:val="20"/>
          <w:szCs w:val="20"/>
        </w:rPr>
        <w:t xml:space="preserve">.  Some of the excluded applications had </w:t>
      </w:r>
      <w:r w:rsidR="00C66F13">
        <w:rPr>
          <w:rFonts w:ascii="Arial" w:hAnsi="Arial" w:cs="Arial"/>
          <w:sz w:val="20"/>
          <w:szCs w:val="20"/>
        </w:rPr>
        <w:t xml:space="preserve">wattages </w:t>
      </w:r>
      <w:r w:rsidR="00B17023">
        <w:rPr>
          <w:rFonts w:ascii="Arial" w:hAnsi="Arial" w:cs="Arial"/>
          <w:sz w:val="20"/>
          <w:szCs w:val="20"/>
        </w:rPr>
        <w:t>out of</w:t>
      </w:r>
      <w:r w:rsidR="00C66F13">
        <w:rPr>
          <w:rFonts w:ascii="Arial" w:hAnsi="Arial" w:cs="Arial"/>
          <w:sz w:val="20"/>
          <w:szCs w:val="20"/>
        </w:rPr>
        <w:t xml:space="preserve"> the range of the </w:t>
      </w:r>
      <w:r w:rsidR="00B17023">
        <w:rPr>
          <w:rFonts w:ascii="Arial" w:hAnsi="Arial" w:cs="Arial"/>
          <w:sz w:val="20"/>
          <w:szCs w:val="20"/>
        </w:rPr>
        <w:t>measure definitions</w:t>
      </w:r>
      <w:r w:rsidR="00C66F13">
        <w:rPr>
          <w:rFonts w:ascii="Arial" w:hAnsi="Arial" w:cs="Arial"/>
          <w:sz w:val="20"/>
          <w:szCs w:val="20"/>
        </w:rPr>
        <w:t xml:space="preserve"> or</w:t>
      </w:r>
      <w:r w:rsidR="00B17023">
        <w:rPr>
          <w:rFonts w:ascii="Arial" w:hAnsi="Arial" w:cs="Arial"/>
          <w:sz w:val="20"/>
          <w:szCs w:val="20"/>
        </w:rPr>
        <w:t xml:space="preserve"> had other cost data quality issues.  Other known or possible cost data quality issues include setting the material cost per unit equal to the rebates, incorporating the labor costs in the material costs, misreported quantities, and incorrect DLC manufacturing and model number matching.  Spot checking was </w:t>
      </w:r>
      <w:r w:rsidR="00034DE3">
        <w:rPr>
          <w:rFonts w:ascii="Arial" w:hAnsi="Arial" w:cs="Arial"/>
          <w:sz w:val="20"/>
          <w:szCs w:val="20"/>
        </w:rPr>
        <w:t>conducted;</w:t>
      </w:r>
      <w:r w:rsidR="00B17023">
        <w:rPr>
          <w:rFonts w:ascii="Arial" w:hAnsi="Arial" w:cs="Arial"/>
          <w:sz w:val="20"/>
          <w:szCs w:val="20"/>
        </w:rPr>
        <w:t xml:space="preserve"> however, </w:t>
      </w:r>
      <w:r w:rsidR="00034DE3">
        <w:rPr>
          <w:rFonts w:ascii="Arial" w:hAnsi="Arial" w:cs="Arial"/>
          <w:sz w:val="20"/>
          <w:szCs w:val="20"/>
        </w:rPr>
        <w:t>it is a manual and time intensive task.  Invoices or receipts are scanned into the database electronically.</w:t>
      </w:r>
    </w:p>
    <w:p w14:paraId="2899E905" w14:textId="11181D54" w:rsidR="00034DE3" w:rsidRDefault="00034DE3" w:rsidP="00130C40">
      <w:pPr>
        <w:rPr>
          <w:rFonts w:ascii="Arial" w:hAnsi="Arial" w:cs="Arial"/>
          <w:sz w:val="20"/>
          <w:szCs w:val="20"/>
        </w:rPr>
      </w:pPr>
    </w:p>
    <w:p w14:paraId="21CCFD46" w14:textId="22C8C653" w:rsidR="0037577B" w:rsidRDefault="00034DE3" w:rsidP="00130C40">
      <w:pPr>
        <w:rPr>
          <w:rFonts w:ascii="Arial" w:hAnsi="Arial" w:cs="Arial"/>
          <w:sz w:val="20"/>
          <w:szCs w:val="20"/>
        </w:rPr>
      </w:pPr>
      <w:r>
        <w:rPr>
          <w:rFonts w:ascii="Arial" w:hAnsi="Arial" w:cs="Arial"/>
          <w:sz w:val="20"/>
          <w:szCs w:val="20"/>
        </w:rPr>
        <w:t>From a general overview of the data, it was observed that costs do correlate to lumens or wattage as indicated in the Navigant 2018 LED Pricing study:  as wattage increases, the cost per fixture also increases.  The data also points that when comparing efficacy</w:t>
      </w:r>
      <w:r w:rsidR="006F42EA">
        <w:rPr>
          <w:rFonts w:ascii="Arial" w:hAnsi="Arial" w:cs="Arial"/>
          <w:sz w:val="20"/>
          <w:szCs w:val="20"/>
        </w:rPr>
        <w:t xml:space="preserve"> of LEDs</w:t>
      </w:r>
      <w:r>
        <w:rPr>
          <w:rFonts w:ascii="Arial" w:hAnsi="Arial" w:cs="Arial"/>
          <w:sz w:val="20"/>
          <w:szCs w:val="20"/>
        </w:rPr>
        <w:t xml:space="preserve">, the price premium may not </w:t>
      </w:r>
      <w:r w:rsidR="006F42EA">
        <w:rPr>
          <w:rFonts w:ascii="Arial" w:hAnsi="Arial" w:cs="Arial"/>
          <w:sz w:val="20"/>
          <w:szCs w:val="20"/>
        </w:rPr>
        <w:t xml:space="preserve">exist and as such, efficacy does not largely drive the cost of the fixture.  From recent discussions with the Commission Staff (early April 2018), a suggestion of cost pair matching was </w:t>
      </w:r>
      <w:r w:rsidR="00F630BA">
        <w:rPr>
          <w:rFonts w:ascii="Arial" w:hAnsi="Arial" w:cs="Arial"/>
          <w:sz w:val="20"/>
          <w:szCs w:val="20"/>
        </w:rPr>
        <w:t>made</w:t>
      </w:r>
      <w:r w:rsidR="006F42EA">
        <w:rPr>
          <w:rFonts w:ascii="Arial" w:hAnsi="Arial" w:cs="Arial"/>
          <w:sz w:val="20"/>
          <w:szCs w:val="20"/>
        </w:rPr>
        <w:t xml:space="preserve">.  The idea of cost pair </w:t>
      </w:r>
      <w:r w:rsidR="006F42EA">
        <w:rPr>
          <w:rFonts w:ascii="Arial" w:hAnsi="Arial" w:cs="Arial"/>
          <w:sz w:val="20"/>
          <w:szCs w:val="20"/>
        </w:rPr>
        <w:lastRenderedPageBreak/>
        <w:t xml:space="preserve">matching is to </w:t>
      </w:r>
      <w:r w:rsidR="0037577B">
        <w:rPr>
          <w:rFonts w:ascii="Arial" w:hAnsi="Arial" w:cs="Arial"/>
          <w:sz w:val="20"/>
          <w:szCs w:val="20"/>
        </w:rPr>
        <w:t xml:space="preserve">find a group of similar fixtures in terms of fixture features in the base case as well as the measure case.  For example, if stainless steel, shock absorbent, vibration resistant high bay fixtures were found in the measure case, the base case should also possess the same fixture features.  This will drop variables in the cost of a fixture and leave </w:t>
      </w:r>
      <w:r w:rsidR="003C3016">
        <w:rPr>
          <w:rFonts w:ascii="Arial" w:hAnsi="Arial" w:cs="Arial"/>
          <w:sz w:val="20"/>
          <w:szCs w:val="20"/>
        </w:rPr>
        <w:t xml:space="preserve">a metric such as </w:t>
      </w:r>
      <w:r w:rsidR="0037577B">
        <w:rPr>
          <w:rFonts w:ascii="Arial" w:hAnsi="Arial" w:cs="Arial"/>
          <w:sz w:val="20"/>
          <w:szCs w:val="20"/>
        </w:rPr>
        <w:t xml:space="preserve">efficacy as the sole variable left contributing to the price delta.  </w:t>
      </w:r>
      <w:bookmarkEnd w:id="115"/>
      <w:r w:rsidR="0037577B">
        <w:rPr>
          <w:rFonts w:ascii="Arial" w:hAnsi="Arial" w:cs="Arial"/>
          <w:sz w:val="20"/>
          <w:szCs w:val="20"/>
        </w:rPr>
        <w:t xml:space="preserve">A first examination of pair matching was conducted based on manufacturers, </w:t>
      </w:r>
      <w:r w:rsidR="00CD2C49">
        <w:rPr>
          <w:rFonts w:ascii="Arial" w:hAnsi="Arial" w:cs="Arial"/>
          <w:sz w:val="20"/>
          <w:szCs w:val="20"/>
        </w:rPr>
        <w:t xml:space="preserve">and the results can be seen in </w:t>
      </w:r>
      <w:r w:rsidR="00CD2C49" w:rsidRPr="1AA8F051">
        <w:fldChar w:fldCharType="begin"/>
      </w:r>
      <w:r w:rsidR="00CD2C49" w:rsidRPr="00CD2C49">
        <w:rPr>
          <w:rFonts w:ascii="Arial" w:hAnsi="Arial" w:cs="Arial"/>
          <w:sz w:val="20"/>
          <w:szCs w:val="20"/>
        </w:rPr>
        <w:instrText xml:space="preserve"> REF _Ref511161416 \h  \* MERGEFORMAT </w:instrText>
      </w:r>
      <w:r w:rsidR="00CD2C49" w:rsidRPr="1AA8F051">
        <w:rPr>
          <w:rFonts w:ascii="Arial" w:hAnsi="Arial" w:cs="Arial"/>
          <w:sz w:val="20"/>
          <w:szCs w:val="20"/>
        </w:rPr>
        <w:fldChar w:fldCharType="separate"/>
      </w:r>
      <w:r w:rsidR="00CD2C49" w:rsidRPr="00CD2C49">
        <w:rPr>
          <w:rFonts w:ascii="Arial" w:hAnsi="Arial" w:cs="Arial"/>
          <w:sz w:val="20"/>
          <w:szCs w:val="20"/>
        </w:rPr>
        <w:t xml:space="preserve">Table </w:t>
      </w:r>
      <w:r w:rsidR="00CD2C49" w:rsidRPr="00CD2C49">
        <w:rPr>
          <w:rFonts w:ascii="Arial" w:hAnsi="Arial" w:cs="Arial"/>
          <w:noProof/>
          <w:sz w:val="20"/>
          <w:szCs w:val="20"/>
        </w:rPr>
        <w:t>10</w:t>
      </w:r>
      <w:r w:rsidR="00CD2C49" w:rsidRPr="1AA8F051">
        <w:fldChar w:fldCharType="end"/>
      </w:r>
      <w:r w:rsidR="0037577B" w:rsidRPr="00CD2C49">
        <w:rPr>
          <w:rFonts w:ascii="Arial" w:hAnsi="Arial" w:cs="Arial"/>
          <w:sz w:val="20"/>
          <w:szCs w:val="20"/>
        </w:rPr>
        <w:t>:</w:t>
      </w:r>
    </w:p>
    <w:p w14:paraId="22C1B813" w14:textId="67537010" w:rsidR="0037577B" w:rsidRDefault="0037577B" w:rsidP="00130C40">
      <w:pPr>
        <w:rPr>
          <w:rFonts w:ascii="Arial" w:hAnsi="Arial" w:cs="Arial"/>
          <w:sz w:val="20"/>
          <w:szCs w:val="20"/>
        </w:rPr>
      </w:pPr>
    </w:p>
    <w:p w14:paraId="099E647F" w14:textId="6E793FB4" w:rsidR="0037577B" w:rsidRDefault="0037577B" w:rsidP="0037577B">
      <w:pPr>
        <w:pStyle w:val="Caption"/>
        <w:keepNext/>
        <w:jc w:val="center"/>
      </w:pPr>
      <w:bookmarkStart w:id="116" w:name="_Ref511161416"/>
      <w:bookmarkStart w:id="117" w:name="_Toc511038014"/>
      <w:bookmarkStart w:id="118" w:name="_Toc511244275"/>
      <w:bookmarkStart w:id="119" w:name="_Toc511244300"/>
      <w:bookmarkStart w:id="120" w:name="_Toc511244919"/>
      <w:r>
        <w:t xml:space="preserve">Table </w:t>
      </w:r>
      <w:r w:rsidR="00C426D4">
        <w:fldChar w:fldCharType="begin"/>
      </w:r>
      <w:r w:rsidR="00C426D4">
        <w:instrText xml:space="preserve"> SEQ Table \* ARABIC </w:instrText>
      </w:r>
      <w:r w:rsidR="00C426D4">
        <w:fldChar w:fldCharType="separate"/>
      </w:r>
      <w:r w:rsidR="00E94C25">
        <w:rPr>
          <w:noProof/>
        </w:rPr>
        <w:t>10</w:t>
      </w:r>
      <w:r w:rsidR="00C426D4">
        <w:rPr>
          <w:noProof/>
        </w:rPr>
        <w:fldChar w:fldCharType="end"/>
      </w:r>
      <w:bookmarkEnd w:id="116"/>
      <w:r>
        <w:t xml:space="preserve"> – Manufacturer Cost Pair Matching</w:t>
      </w:r>
      <w:bookmarkEnd w:id="117"/>
      <w:bookmarkEnd w:id="118"/>
      <w:bookmarkEnd w:id="119"/>
      <w:bookmarkEnd w:id="120"/>
    </w:p>
    <w:tbl>
      <w:tblPr>
        <w:tblStyle w:val="TableGrid"/>
        <w:tblW w:w="0" w:type="auto"/>
        <w:jc w:val="center"/>
        <w:tblLook w:val="04A0" w:firstRow="1" w:lastRow="0" w:firstColumn="1" w:lastColumn="0" w:noHBand="0" w:noVBand="1"/>
      </w:tblPr>
      <w:tblGrid>
        <w:gridCol w:w="1595"/>
        <w:gridCol w:w="1720"/>
        <w:gridCol w:w="1083"/>
        <w:gridCol w:w="2205"/>
      </w:tblGrid>
      <w:tr w:rsidR="0037577B" w:rsidRPr="0037577B" w14:paraId="58F7A2E7" w14:textId="77777777" w:rsidTr="0037577B">
        <w:trPr>
          <w:trHeight w:val="300"/>
          <w:jc w:val="center"/>
        </w:trPr>
        <w:tc>
          <w:tcPr>
            <w:tcW w:w="1595" w:type="dxa"/>
            <w:noWrap/>
            <w:vAlign w:val="center"/>
            <w:hideMark/>
          </w:tcPr>
          <w:p w14:paraId="3369D1E2" w14:textId="67515B7A" w:rsidR="0037577B" w:rsidRPr="0037577B" w:rsidRDefault="0037577B" w:rsidP="0037577B">
            <w:pPr>
              <w:jc w:val="center"/>
              <w:rPr>
                <w:rFonts w:ascii="Arial" w:hAnsi="Arial" w:cs="Arial"/>
                <w:b/>
                <w:bCs/>
                <w:sz w:val="20"/>
                <w:szCs w:val="20"/>
              </w:rPr>
            </w:pPr>
            <w:r>
              <w:rPr>
                <w:rFonts w:ascii="Arial" w:hAnsi="Arial" w:cs="Arial"/>
                <w:b/>
                <w:bCs/>
                <w:sz w:val="20"/>
                <w:szCs w:val="20"/>
              </w:rPr>
              <w:t>Manufacturers</w:t>
            </w:r>
          </w:p>
        </w:tc>
        <w:tc>
          <w:tcPr>
            <w:tcW w:w="1720" w:type="dxa"/>
            <w:noWrap/>
            <w:vAlign w:val="center"/>
            <w:hideMark/>
          </w:tcPr>
          <w:p w14:paraId="7DA59BA5" w14:textId="77777777" w:rsidR="0037577B" w:rsidRPr="0037577B" w:rsidRDefault="0037577B" w:rsidP="0037577B">
            <w:pPr>
              <w:jc w:val="center"/>
              <w:rPr>
                <w:rFonts w:ascii="Arial" w:hAnsi="Arial" w:cs="Arial"/>
                <w:b/>
                <w:bCs/>
                <w:sz w:val="20"/>
                <w:szCs w:val="20"/>
              </w:rPr>
            </w:pPr>
            <w:r w:rsidRPr="0037577B">
              <w:rPr>
                <w:rFonts w:ascii="Arial" w:hAnsi="Arial" w:cs="Arial"/>
                <w:b/>
                <w:bCs/>
                <w:sz w:val="20"/>
                <w:szCs w:val="20"/>
              </w:rPr>
              <w:t>Premium</w:t>
            </w:r>
          </w:p>
        </w:tc>
        <w:tc>
          <w:tcPr>
            <w:tcW w:w="1083" w:type="dxa"/>
            <w:noWrap/>
            <w:vAlign w:val="center"/>
            <w:hideMark/>
          </w:tcPr>
          <w:p w14:paraId="55511342" w14:textId="77777777" w:rsidR="0037577B" w:rsidRPr="0037577B" w:rsidRDefault="0037577B" w:rsidP="0037577B">
            <w:pPr>
              <w:jc w:val="center"/>
              <w:rPr>
                <w:rFonts w:ascii="Arial" w:hAnsi="Arial" w:cs="Arial"/>
                <w:b/>
                <w:bCs/>
                <w:sz w:val="20"/>
                <w:szCs w:val="20"/>
              </w:rPr>
            </w:pPr>
            <w:r w:rsidRPr="0037577B">
              <w:rPr>
                <w:rFonts w:ascii="Arial" w:hAnsi="Arial" w:cs="Arial"/>
                <w:b/>
                <w:bCs/>
                <w:sz w:val="20"/>
                <w:szCs w:val="20"/>
              </w:rPr>
              <w:t>Standard</w:t>
            </w:r>
          </w:p>
        </w:tc>
        <w:tc>
          <w:tcPr>
            <w:tcW w:w="2205" w:type="dxa"/>
            <w:noWrap/>
            <w:vAlign w:val="center"/>
            <w:hideMark/>
          </w:tcPr>
          <w:p w14:paraId="225CB0CE" w14:textId="77777777" w:rsidR="0037577B" w:rsidRPr="0037577B" w:rsidRDefault="0037577B" w:rsidP="0037577B">
            <w:pPr>
              <w:jc w:val="center"/>
              <w:rPr>
                <w:rFonts w:ascii="Arial" w:hAnsi="Arial" w:cs="Arial"/>
                <w:b/>
                <w:bCs/>
                <w:sz w:val="20"/>
                <w:szCs w:val="20"/>
              </w:rPr>
            </w:pPr>
            <w:r w:rsidRPr="0037577B">
              <w:rPr>
                <w:rFonts w:ascii="Arial" w:hAnsi="Arial" w:cs="Arial"/>
                <w:b/>
                <w:bCs/>
                <w:sz w:val="20"/>
                <w:szCs w:val="20"/>
              </w:rPr>
              <w:t>Adder for Premium</w:t>
            </w:r>
          </w:p>
        </w:tc>
      </w:tr>
      <w:tr w:rsidR="0037577B" w:rsidRPr="0037577B" w14:paraId="6656095E" w14:textId="77777777" w:rsidTr="0037577B">
        <w:trPr>
          <w:trHeight w:val="300"/>
          <w:jc w:val="center"/>
        </w:trPr>
        <w:tc>
          <w:tcPr>
            <w:tcW w:w="1595" w:type="dxa"/>
            <w:noWrap/>
            <w:vAlign w:val="center"/>
            <w:hideMark/>
          </w:tcPr>
          <w:p w14:paraId="2F31707B"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ACUITY</w:t>
            </w:r>
          </w:p>
        </w:tc>
        <w:tc>
          <w:tcPr>
            <w:tcW w:w="1720" w:type="dxa"/>
            <w:noWrap/>
            <w:vAlign w:val="center"/>
            <w:hideMark/>
          </w:tcPr>
          <w:p w14:paraId="16B4DC21"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$239.22</w:t>
            </w:r>
          </w:p>
        </w:tc>
        <w:tc>
          <w:tcPr>
            <w:tcW w:w="1083" w:type="dxa"/>
            <w:noWrap/>
            <w:vAlign w:val="center"/>
            <w:hideMark/>
          </w:tcPr>
          <w:p w14:paraId="336D8F5E"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$331.92</w:t>
            </w:r>
          </w:p>
        </w:tc>
        <w:tc>
          <w:tcPr>
            <w:tcW w:w="2205" w:type="dxa"/>
            <w:noWrap/>
            <w:vAlign w:val="center"/>
            <w:hideMark/>
          </w:tcPr>
          <w:p w14:paraId="0D21D787"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-$92.70</w:t>
            </w:r>
          </w:p>
        </w:tc>
      </w:tr>
      <w:tr w:rsidR="0037577B" w:rsidRPr="0037577B" w14:paraId="7699EB51" w14:textId="77777777" w:rsidTr="0037577B">
        <w:trPr>
          <w:trHeight w:val="300"/>
          <w:jc w:val="center"/>
        </w:trPr>
        <w:tc>
          <w:tcPr>
            <w:tcW w:w="1595" w:type="dxa"/>
            <w:noWrap/>
            <w:vAlign w:val="center"/>
            <w:hideMark/>
          </w:tcPr>
          <w:p w14:paraId="0DB24540"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ALEO</w:t>
            </w:r>
          </w:p>
        </w:tc>
        <w:tc>
          <w:tcPr>
            <w:tcW w:w="1720" w:type="dxa"/>
            <w:noWrap/>
            <w:vAlign w:val="center"/>
            <w:hideMark/>
          </w:tcPr>
          <w:p w14:paraId="0B176386"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$165.44</w:t>
            </w:r>
          </w:p>
        </w:tc>
        <w:tc>
          <w:tcPr>
            <w:tcW w:w="1083" w:type="dxa"/>
            <w:noWrap/>
            <w:vAlign w:val="center"/>
            <w:hideMark/>
          </w:tcPr>
          <w:p w14:paraId="1B51B2CB"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$206.55</w:t>
            </w:r>
          </w:p>
        </w:tc>
        <w:tc>
          <w:tcPr>
            <w:tcW w:w="2205" w:type="dxa"/>
            <w:noWrap/>
            <w:vAlign w:val="center"/>
            <w:hideMark/>
          </w:tcPr>
          <w:p w14:paraId="2844E88B"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-$41.11</w:t>
            </w:r>
          </w:p>
        </w:tc>
      </w:tr>
      <w:tr w:rsidR="0037577B" w:rsidRPr="0037577B" w14:paraId="6FD40F93" w14:textId="77777777" w:rsidTr="0037577B">
        <w:trPr>
          <w:trHeight w:val="300"/>
          <w:jc w:val="center"/>
        </w:trPr>
        <w:tc>
          <w:tcPr>
            <w:tcW w:w="1595" w:type="dxa"/>
            <w:noWrap/>
            <w:vAlign w:val="center"/>
            <w:hideMark/>
          </w:tcPr>
          <w:p w14:paraId="09E585EE"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ATLAS</w:t>
            </w:r>
          </w:p>
        </w:tc>
        <w:tc>
          <w:tcPr>
            <w:tcW w:w="1720" w:type="dxa"/>
            <w:noWrap/>
            <w:vAlign w:val="center"/>
            <w:hideMark/>
          </w:tcPr>
          <w:p w14:paraId="454FA68B"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$248.09</w:t>
            </w:r>
          </w:p>
        </w:tc>
        <w:tc>
          <w:tcPr>
            <w:tcW w:w="1083" w:type="dxa"/>
            <w:noWrap/>
            <w:vAlign w:val="center"/>
            <w:hideMark/>
          </w:tcPr>
          <w:p w14:paraId="1BB50D59"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$185.76</w:t>
            </w:r>
          </w:p>
        </w:tc>
        <w:tc>
          <w:tcPr>
            <w:tcW w:w="2205" w:type="dxa"/>
            <w:noWrap/>
            <w:vAlign w:val="center"/>
            <w:hideMark/>
          </w:tcPr>
          <w:p w14:paraId="0BCDC390"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$62.33</w:t>
            </w:r>
          </w:p>
        </w:tc>
      </w:tr>
      <w:tr w:rsidR="0037577B" w:rsidRPr="0037577B" w14:paraId="7CDA1047" w14:textId="77777777" w:rsidTr="0037577B">
        <w:trPr>
          <w:trHeight w:val="300"/>
          <w:jc w:val="center"/>
        </w:trPr>
        <w:tc>
          <w:tcPr>
            <w:tcW w:w="1595" w:type="dxa"/>
            <w:noWrap/>
            <w:vAlign w:val="center"/>
            <w:hideMark/>
          </w:tcPr>
          <w:p w14:paraId="3566774F"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CREE</w:t>
            </w:r>
          </w:p>
        </w:tc>
        <w:tc>
          <w:tcPr>
            <w:tcW w:w="1720" w:type="dxa"/>
            <w:noWrap/>
            <w:vAlign w:val="center"/>
            <w:hideMark/>
          </w:tcPr>
          <w:p w14:paraId="36FBE3BF"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$138.23</w:t>
            </w:r>
          </w:p>
        </w:tc>
        <w:tc>
          <w:tcPr>
            <w:tcW w:w="1083" w:type="dxa"/>
            <w:noWrap/>
            <w:vAlign w:val="center"/>
            <w:hideMark/>
          </w:tcPr>
          <w:p w14:paraId="785CEC40"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$344.96</w:t>
            </w:r>
          </w:p>
        </w:tc>
        <w:tc>
          <w:tcPr>
            <w:tcW w:w="2205" w:type="dxa"/>
            <w:noWrap/>
            <w:vAlign w:val="center"/>
            <w:hideMark/>
          </w:tcPr>
          <w:p w14:paraId="1FE05999"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-$206.73</w:t>
            </w:r>
          </w:p>
        </w:tc>
      </w:tr>
      <w:tr w:rsidR="0037577B" w:rsidRPr="0037577B" w14:paraId="0CDEFDE4" w14:textId="77777777" w:rsidTr="0037577B">
        <w:trPr>
          <w:trHeight w:val="300"/>
          <w:jc w:val="center"/>
        </w:trPr>
        <w:tc>
          <w:tcPr>
            <w:tcW w:w="1595" w:type="dxa"/>
            <w:noWrap/>
            <w:vAlign w:val="center"/>
            <w:hideMark/>
          </w:tcPr>
          <w:p w14:paraId="54AF81DB"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All other MFRs</w:t>
            </w:r>
          </w:p>
        </w:tc>
        <w:tc>
          <w:tcPr>
            <w:tcW w:w="1720" w:type="dxa"/>
            <w:noWrap/>
            <w:vAlign w:val="center"/>
            <w:hideMark/>
          </w:tcPr>
          <w:p w14:paraId="6C159762"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$181.45</w:t>
            </w:r>
          </w:p>
        </w:tc>
        <w:tc>
          <w:tcPr>
            <w:tcW w:w="1083" w:type="dxa"/>
            <w:noWrap/>
            <w:vAlign w:val="center"/>
            <w:hideMark/>
          </w:tcPr>
          <w:p w14:paraId="135D68DD"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$186.60</w:t>
            </w:r>
          </w:p>
        </w:tc>
        <w:tc>
          <w:tcPr>
            <w:tcW w:w="2205" w:type="dxa"/>
            <w:noWrap/>
            <w:vAlign w:val="center"/>
            <w:hideMark/>
          </w:tcPr>
          <w:p w14:paraId="018CAD3F" w14:textId="77777777" w:rsidR="0037577B" w:rsidRPr="0037577B" w:rsidRDefault="0037577B" w:rsidP="0037577B">
            <w:pPr>
              <w:jc w:val="center"/>
              <w:rPr>
                <w:rFonts w:ascii="Arial" w:hAnsi="Arial" w:cs="Arial"/>
                <w:sz w:val="20"/>
                <w:szCs w:val="20"/>
              </w:rPr>
            </w:pPr>
            <w:r w:rsidRPr="0037577B">
              <w:rPr>
                <w:rFonts w:ascii="Arial" w:hAnsi="Arial" w:cs="Arial"/>
                <w:sz w:val="20"/>
                <w:szCs w:val="20"/>
              </w:rPr>
              <w:t>-$5.15</w:t>
            </w:r>
          </w:p>
        </w:tc>
      </w:tr>
    </w:tbl>
    <w:p w14:paraId="06FF0C81" w14:textId="77777777" w:rsidR="0037577B" w:rsidRDefault="0037577B" w:rsidP="0037577B">
      <w:pPr>
        <w:jc w:val="center"/>
        <w:rPr>
          <w:rFonts w:ascii="Arial" w:hAnsi="Arial" w:cs="Arial"/>
          <w:sz w:val="20"/>
          <w:szCs w:val="20"/>
        </w:rPr>
      </w:pPr>
    </w:p>
    <w:p w14:paraId="4E7ED271" w14:textId="357939E3" w:rsidR="00066844" w:rsidRDefault="0037577B" w:rsidP="00130C40">
      <w:pPr>
        <w:rPr>
          <w:rFonts w:ascii="Arial" w:hAnsi="Arial" w:cs="Arial"/>
          <w:sz w:val="20"/>
          <w:szCs w:val="20"/>
        </w:rPr>
      </w:pPr>
      <w:r>
        <w:rPr>
          <w:rFonts w:ascii="Arial" w:hAnsi="Arial" w:cs="Arial"/>
          <w:sz w:val="20"/>
          <w:szCs w:val="20"/>
        </w:rPr>
        <w:t>Unfortunately, the results did not yield in favor of a positive premium cost adder</w:t>
      </w:r>
      <w:r w:rsidR="003C3016">
        <w:rPr>
          <w:rFonts w:ascii="Arial" w:hAnsi="Arial" w:cs="Arial"/>
          <w:sz w:val="20"/>
          <w:szCs w:val="20"/>
        </w:rPr>
        <w:t>, indicating that further analysis is needed to determine the metrics driving price, and the parameters by which IOU Programs would design efficiency measures</w:t>
      </w:r>
      <w:r w:rsidR="00717C3B">
        <w:rPr>
          <w:rFonts w:ascii="Arial" w:hAnsi="Arial" w:cs="Arial"/>
          <w:sz w:val="20"/>
          <w:szCs w:val="20"/>
        </w:rPr>
        <w:t>.</w:t>
      </w:r>
      <w:r>
        <w:rPr>
          <w:rFonts w:ascii="Arial" w:hAnsi="Arial" w:cs="Arial"/>
          <w:sz w:val="20"/>
          <w:szCs w:val="20"/>
        </w:rPr>
        <w:t xml:space="preserve">  </w:t>
      </w:r>
      <w:bookmarkStart w:id="121" w:name="_Hlk510989619"/>
      <w:r>
        <w:rPr>
          <w:rFonts w:ascii="Arial" w:hAnsi="Arial" w:cs="Arial"/>
          <w:sz w:val="20"/>
          <w:szCs w:val="20"/>
        </w:rPr>
        <w:t xml:space="preserve">Further in-depth investigation will be needed to research the spec sheets of the rebated fixtures.  This is a time intensive and manual task, which can be </w:t>
      </w:r>
      <w:r w:rsidR="00981F99">
        <w:rPr>
          <w:rFonts w:ascii="Arial" w:hAnsi="Arial" w:cs="Arial"/>
          <w:sz w:val="20"/>
          <w:szCs w:val="20"/>
        </w:rPr>
        <w:t>evaluated for the next iteration of the workpaper.</w:t>
      </w:r>
    </w:p>
    <w:bookmarkEnd w:id="121"/>
    <w:p w14:paraId="3EB5A3E4" w14:textId="77777777" w:rsidR="0037577B" w:rsidRDefault="0037577B" w:rsidP="00130C40">
      <w:pPr>
        <w:rPr>
          <w:rFonts w:ascii="Arial" w:hAnsi="Arial" w:cs="Arial"/>
          <w:sz w:val="20"/>
          <w:szCs w:val="20"/>
        </w:rPr>
      </w:pPr>
    </w:p>
    <w:p w14:paraId="0538639D" w14:textId="5C77ED14" w:rsidR="00076858" w:rsidRDefault="00066844" w:rsidP="00076858">
      <w:pPr>
        <w:rPr>
          <w:rFonts w:ascii="Arial" w:hAnsi="Arial" w:cs="Arial"/>
          <w:sz w:val="20"/>
          <w:szCs w:val="20"/>
        </w:rPr>
      </w:pPr>
      <w:r w:rsidRPr="00981F99">
        <w:rPr>
          <w:rFonts w:ascii="Arial" w:hAnsi="Arial" w:cs="Arial"/>
          <w:b/>
          <w:sz w:val="20"/>
          <w:szCs w:val="20"/>
        </w:rPr>
        <w:t>SCE Program Data:</w:t>
      </w:r>
      <w:r>
        <w:rPr>
          <w:rFonts w:ascii="Arial" w:hAnsi="Arial" w:cs="Arial"/>
          <w:sz w:val="20"/>
          <w:szCs w:val="20"/>
        </w:rPr>
        <w:t xml:space="preserve">  </w:t>
      </w:r>
      <w:r w:rsidR="00076858" w:rsidRPr="00066844">
        <w:rPr>
          <w:rFonts w:ascii="Arial" w:hAnsi="Arial" w:cs="Arial"/>
          <w:sz w:val="20"/>
          <w:szCs w:val="20"/>
        </w:rPr>
        <w:t xml:space="preserve">The raw data file cleaned of customer information can be found as Attachment </w:t>
      </w:r>
      <w:r w:rsidR="00076858">
        <w:rPr>
          <w:rFonts w:ascii="Arial" w:hAnsi="Arial" w:cs="Arial"/>
          <w:sz w:val="20"/>
          <w:szCs w:val="20"/>
        </w:rPr>
        <w:t>3</w:t>
      </w:r>
      <w:r w:rsidR="00076858" w:rsidRPr="00066844">
        <w:rPr>
          <w:rFonts w:ascii="Arial" w:hAnsi="Arial" w:cs="Arial"/>
          <w:sz w:val="20"/>
          <w:szCs w:val="20"/>
        </w:rPr>
        <w:t xml:space="preserve">.  There were </w:t>
      </w:r>
      <w:r w:rsidR="00076858">
        <w:rPr>
          <w:rFonts w:ascii="Arial" w:hAnsi="Arial" w:cs="Arial"/>
          <w:sz w:val="20"/>
          <w:szCs w:val="20"/>
        </w:rPr>
        <w:t>656</w:t>
      </w:r>
      <w:r w:rsidR="00076858" w:rsidRPr="00066844">
        <w:rPr>
          <w:rFonts w:ascii="Arial" w:hAnsi="Arial" w:cs="Arial"/>
          <w:sz w:val="20"/>
          <w:szCs w:val="20"/>
        </w:rPr>
        <w:t xml:space="preserve"> applications received from </w:t>
      </w:r>
      <w:r w:rsidR="00076858">
        <w:rPr>
          <w:rFonts w:ascii="Arial" w:hAnsi="Arial" w:cs="Arial"/>
          <w:sz w:val="20"/>
          <w:szCs w:val="20"/>
        </w:rPr>
        <w:t>the end of 2016 through the end of 2017</w:t>
      </w:r>
      <w:r w:rsidR="00076858" w:rsidRPr="00066844">
        <w:rPr>
          <w:rFonts w:ascii="Arial" w:hAnsi="Arial" w:cs="Arial"/>
          <w:sz w:val="20"/>
          <w:szCs w:val="20"/>
        </w:rPr>
        <w:t>.</w:t>
      </w:r>
      <w:r w:rsidR="00076858">
        <w:rPr>
          <w:rFonts w:ascii="Arial" w:hAnsi="Arial" w:cs="Arial"/>
          <w:sz w:val="20"/>
          <w:szCs w:val="20"/>
        </w:rPr>
        <w:t xml:space="preserve">  The same approximate logic was used to match the manufacturer and model number to obtain the wattage, lumen output, and efficacy of the rebated fixtures. </w:t>
      </w:r>
      <w:r w:rsidR="00F453E5">
        <w:rPr>
          <w:rFonts w:ascii="Arial" w:hAnsi="Arial" w:cs="Arial"/>
          <w:sz w:val="20"/>
          <w:szCs w:val="20"/>
        </w:rPr>
        <w:t xml:space="preserve"> </w:t>
      </w:r>
      <w:r w:rsidR="00076858">
        <w:rPr>
          <w:rFonts w:ascii="Arial" w:hAnsi="Arial" w:cs="Arial"/>
          <w:sz w:val="20"/>
          <w:szCs w:val="20"/>
        </w:rPr>
        <w:t xml:space="preserve">There were </w:t>
      </w:r>
      <w:r w:rsidR="00F453E5">
        <w:rPr>
          <w:rFonts w:ascii="Arial" w:hAnsi="Arial" w:cs="Arial"/>
          <w:sz w:val="20"/>
          <w:szCs w:val="20"/>
        </w:rPr>
        <w:t>405 (62</w:t>
      </w:r>
      <w:r w:rsidR="00076858">
        <w:rPr>
          <w:rFonts w:ascii="Arial" w:hAnsi="Arial" w:cs="Arial"/>
          <w:sz w:val="20"/>
          <w:szCs w:val="20"/>
        </w:rPr>
        <w:t xml:space="preserve">% of all received records) matches with the manufacturer and model number.  Out of the </w:t>
      </w:r>
      <w:r w:rsidR="00F453E5">
        <w:rPr>
          <w:rFonts w:ascii="Arial" w:hAnsi="Arial" w:cs="Arial"/>
          <w:sz w:val="20"/>
          <w:szCs w:val="20"/>
        </w:rPr>
        <w:t>405</w:t>
      </w:r>
      <w:r w:rsidR="00076858">
        <w:rPr>
          <w:rFonts w:ascii="Arial" w:hAnsi="Arial" w:cs="Arial"/>
          <w:sz w:val="20"/>
          <w:szCs w:val="20"/>
        </w:rPr>
        <w:t xml:space="preserve"> matches, </w:t>
      </w:r>
      <w:r w:rsidR="00F453E5">
        <w:rPr>
          <w:rFonts w:ascii="Arial" w:hAnsi="Arial" w:cs="Arial"/>
          <w:sz w:val="20"/>
          <w:szCs w:val="20"/>
        </w:rPr>
        <w:t>207</w:t>
      </w:r>
      <w:r w:rsidR="00076858">
        <w:rPr>
          <w:rFonts w:ascii="Arial" w:hAnsi="Arial" w:cs="Arial"/>
          <w:sz w:val="20"/>
          <w:szCs w:val="20"/>
        </w:rPr>
        <w:t xml:space="preserve"> (</w:t>
      </w:r>
      <w:r w:rsidR="00F453E5">
        <w:rPr>
          <w:rFonts w:ascii="Arial" w:hAnsi="Arial" w:cs="Arial"/>
          <w:sz w:val="20"/>
          <w:szCs w:val="20"/>
        </w:rPr>
        <w:t>32</w:t>
      </w:r>
      <w:r w:rsidR="00076858">
        <w:rPr>
          <w:rFonts w:ascii="Arial" w:hAnsi="Arial" w:cs="Arial"/>
          <w:sz w:val="20"/>
          <w:szCs w:val="20"/>
        </w:rPr>
        <w:t>% of all received records) applications were used for the cost analysis.  Some of the excluded applications had wattages out of the range of the measure definitions</w:t>
      </w:r>
      <w:r w:rsidR="00F453E5">
        <w:rPr>
          <w:rFonts w:ascii="Arial" w:hAnsi="Arial" w:cs="Arial"/>
          <w:sz w:val="20"/>
          <w:szCs w:val="20"/>
        </w:rPr>
        <w:t>.</w:t>
      </w:r>
      <w:r w:rsidR="00076858">
        <w:rPr>
          <w:rFonts w:ascii="Arial" w:hAnsi="Arial" w:cs="Arial"/>
          <w:sz w:val="20"/>
          <w:szCs w:val="20"/>
        </w:rPr>
        <w:t xml:space="preserve"> </w:t>
      </w:r>
    </w:p>
    <w:p w14:paraId="7FCF07D5" w14:textId="78DA757D" w:rsidR="003C34B8" w:rsidRDefault="003C34B8" w:rsidP="00076858">
      <w:pPr>
        <w:rPr>
          <w:rFonts w:ascii="Arial" w:hAnsi="Arial" w:cs="Arial"/>
          <w:sz w:val="20"/>
          <w:szCs w:val="20"/>
        </w:rPr>
      </w:pPr>
    </w:p>
    <w:p w14:paraId="63E96E7A" w14:textId="2604FB09" w:rsidR="003C34B8" w:rsidRDefault="00CA01FC" w:rsidP="00CA01FC">
      <w:pPr>
        <w:rPr>
          <w:rFonts w:ascii="Arial" w:hAnsi="Arial" w:cs="Arial"/>
          <w:sz w:val="20"/>
          <w:szCs w:val="20"/>
        </w:rPr>
      </w:pPr>
      <w:r>
        <w:rPr>
          <w:rFonts w:ascii="Arial" w:hAnsi="Arial" w:cs="Arial"/>
          <w:sz w:val="20"/>
          <w:szCs w:val="20"/>
        </w:rPr>
        <w:t>A generalized trend of cost correlating with lumen output can be seen in the data set, however, when assigned into the wattage bins and two tiers, Tier 2 does not seem to follow this relationship.  Due to the low amount of data points in each of the wattage bins, the SCE program data was only included as a comparison and not incorporated fully into the base case and measure case cost analysis.</w:t>
      </w:r>
    </w:p>
    <w:p w14:paraId="216A320F" w14:textId="5DCC282A" w:rsidR="006645F6" w:rsidRPr="006E3439" w:rsidRDefault="00CF3FF0" w:rsidP="006E3439">
      <w:pPr>
        <w:pStyle w:val="Heading1"/>
      </w:pPr>
      <w:bookmarkStart w:id="122" w:name="_Ref510938094"/>
      <w:bookmarkStart w:id="123" w:name="_Toc511038045"/>
      <w:bookmarkStart w:id="124" w:name="_Toc511244897"/>
      <w:r w:rsidRPr="00CB1003">
        <w:t xml:space="preserve">Section </w:t>
      </w:r>
      <w:r w:rsidR="00C069A2" w:rsidRPr="00CB1003">
        <w:t>2 Calculation Methods</w:t>
      </w:r>
      <w:bookmarkEnd w:id="122"/>
      <w:bookmarkEnd w:id="123"/>
      <w:bookmarkEnd w:id="124"/>
    </w:p>
    <w:p w14:paraId="6A1CCB2E" w14:textId="77777777" w:rsidR="005F797F" w:rsidRDefault="005F797F" w:rsidP="001A3026">
      <w:pPr>
        <w:rPr>
          <w:rFonts w:ascii="Arial" w:hAnsi="Arial" w:cs="Arial"/>
          <w:b/>
          <w:sz w:val="20"/>
          <w:szCs w:val="20"/>
        </w:rPr>
      </w:pPr>
    </w:p>
    <w:p w14:paraId="48899418" w14:textId="26A6B350" w:rsidR="00710061" w:rsidRPr="002245D6" w:rsidRDefault="002245D6" w:rsidP="001A3026">
      <w:pPr>
        <w:rPr>
          <w:rFonts w:ascii="Arial" w:hAnsi="Arial"/>
          <w:b/>
          <w:sz w:val="26"/>
          <w:szCs w:val="26"/>
        </w:rPr>
      </w:pPr>
      <w:r>
        <w:rPr>
          <w:rFonts w:ascii="Arial" w:hAnsi="Arial"/>
          <w:b/>
          <w:sz w:val="26"/>
          <w:szCs w:val="26"/>
        </w:rPr>
        <w:t xml:space="preserve">2.1 </w:t>
      </w:r>
      <w:r w:rsidRPr="002245D6">
        <w:rPr>
          <w:rFonts w:ascii="Arial" w:hAnsi="Arial"/>
          <w:b/>
          <w:sz w:val="26"/>
          <w:szCs w:val="26"/>
        </w:rPr>
        <w:t>Equivalent Levels of Service</w:t>
      </w:r>
    </w:p>
    <w:p w14:paraId="082A79D3" w14:textId="7C012D6E" w:rsidR="003B44BB" w:rsidRPr="00A317FF" w:rsidRDefault="007C1DEB" w:rsidP="001A3026">
      <w:pPr>
        <w:rPr>
          <w:rFonts w:ascii="Arial" w:hAnsi="Arial"/>
          <w:sz w:val="20"/>
        </w:rPr>
      </w:pPr>
      <w:r w:rsidRPr="00A317FF">
        <w:rPr>
          <w:rFonts w:ascii="Arial" w:hAnsi="Arial"/>
          <w:sz w:val="20"/>
        </w:rPr>
        <w:t xml:space="preserve">This workpaper uses the </w:t>
      </w:r>
      <w:r w:rsidR="00A317FF" w:rsidRPr="00A317FF">
        <w:rPr>
          <w:rFonts w:ascii="Arial" w:hAnsi="Arial"/>
          <w:sz w:val="20"/>
        </w:rPr>
        <w:t>current</w:t>
      </w:r>
      <w:r w:rsidR="003B44BB" w:rsidRPr="00A317FF">
        <w:rPr>
          <w:rFonts w:ascii="Arial" w:hAnsi="Arial"/>
          <w:sz w:val="20"/>
        </w:rPr>
        <w:t xml:space="preserve"> </w:t>
      </w:r>
      <w:r w:rsidR="00D211F3" w:rsidRPr="00A317FF">
        <w:rPr>
          <w:rFonts w:ascii="Arial" w:hAnsi="Arial"/>
          <w:sz w:val="20"/>
        </w:rPr>
        <w:t>DLC</w:t>
      </w:r>
      <w:r w:rsidRPr="00A317FF">
        <w:rPr>
          <w:rFonts w:ascii="Arial" w:hAnsi="Arial"/>
          <w:sz w:val="20"/>
        </w:rPr>
        <w:t xml:space="preserve"> </w:t>
      </w:r>
      <w:r w:rsidR="00B114EC" w:rsidRPr="00A317FF">
        <w:rPr>
          <w:rFonts w:ascii="Arial" w:hAnsi="Arial"/>
          <w:sz w:val="20"/>
        </w:rPr>
        <w:t>QPL</w:t>
      </w:r>
      <w:r w:rsidRPr="00A317FF">
        <w:rPr>
          <w:rFonts w:ascii="Arial" w:hAnsi="Arial"/>
          <w:sz w:val="20"/>
        </w:rPr>
        <w:t xml:space="preserve"> to choose the most appropriate </w:t>
      </w:r>
      <w:r w:rsidR="008547B7" w:rsidRPr="00A317FF">
        <w:rPr>
          <w:rFonts w:ascii="Arial" w:hAnsi="Arial"/>
          <w:sz w:val="20"/>
        </w:rPr>
        <w:t xml:space="preserve">LED </w:t>
      </w:r>
      <w:r w:rsidRPr="00A317FF">
        <w:rPr>
          <w:rFonts w:ascii="Arial" w:hAnsi="Arial"/>
          <w:sz w:val="20"/>
        </w:rPr>
        <w:t>base and measure case wattages.</w:t>
      </w:r>
      <w:r w:rsidR="00322FB9" w:rsidRPr="00A317FF">
        <w:rPr>
          <w:rFonts w:ascii="Arial" w:hAnsi="Arial"/>
          <w:sz w:val="20"/>
        </w:rPr>
        <w:t xml:space="preserve"> </w:t>
      </w:r>
      <w:r w:rsidR="008547B7" w:rsidRPr="00A317FF">
        <w:rPr>
          <w:rFonts w:ascii="Arial" w:hAnsi="Arial"/>
          <w:sz w:val="20"/>
        </w:rPr>
        <w:t xml:space="preserve">The fluorescent base case power consumption uses the </w:t>
      </w:r>
      <w:r w:rsidR="008547B7" w:rsidRPr="00A317FF">
        <w:rPr>
          <w:rFonts w:ascii="Arial" w:hAnsi="Arial" w:cs="Arial"/>
          <w:sz w:val="20"/>
          <w:szCs w:val="20"/>
        </w:rPr>
        <w:t xml:space="preserve">Standard Fixture Wattages from Appendix B.  </w:t>
      </w:r>
      <w:r w:rsidR="00322FB9" w:rsidRPr="00A317FF">
        <w:rPr>
          <w:rFonts w:ascii="Arial" w:hAnsi="Arial"/>
          <w:sz w:val="20"/>
        </w:rPr>
        <w:t xml:space="preserve">The base case wattages </w:t>
      </w:r>
      <w:r w:rsidR="008547B7" w:rsidRPr="00A317FF">
        <w:rPr>
          <w:rFonts w:ascii="Arial" w:hAnsi="Arial"/>
          <w:sz w:val="20"/>
        </w:rPr>
        <w:t xml:space="preserve">have been developed from </w:t>
      </w:r>
      <w:r w:rsidR="00B67AB6" w:rsidRPr="00A317FF">
        <w:rPr>
          <w:rFonts w:ascii="Arial" w:hAnsi="Arial"/>
          <w:sz w:val="20"/>
        </w:rPr>
        <w:t xml:space="preserve">common </w:t>
      </w:r>
      <w:r w:rsidR="006234EB" w:rsidRPr="00A317FF">
        <w:rPr>
          <w:rFonts w:ascii="Arial" w:hAnsi="Arial"/>
          <w:sz w:val="20"/>
        </w:rPr>
        <w:t xml:space="preserve">configurations of high performance T8 linear fluorescent </w:t>
      </w:r>
      <w:r w:rsidR="00B67AB6" w:rsidRPr="00A317FF">
        <w:rPr>
          <w:rFonts w:ascii="Arial" w:hAnsi="Arial"/>
          <w:sz w:val="20"/>
        </w:rPr>
        <w:t>high-</w:t>
      </w:r>
      <w:r w:rsidR="00322FB9" w:rsidRPr="00A317FF">
        <w:rPr>
          <w:rFonts w:ascii="Arial" w:hAnsi="Arial"/>
          <w:sz w:val="20"/>
        </w:rPr>
        <w:t xml:space="preserve">bay </w:t>
      </w:r>
      <w:r w:rsidR="00B67AB6" w:rsidRPr="00A317FF">
        <w:rPr>
          <w:rFonts w:ascii="Arial" w:hAnsi="Arial"/>
          <w:sz w:val="20"/>
        </w:rPr>
        <w:t xml:space="preserve">and low-bay </w:t>
      </w:r>
      <w:r w:rsidR="006234EB" w:rsidRPr="00A317FF">
        <w:rPr>
          <w:rFonts w:ascii="Arial" w:hAnsi="Arial"/>
          <w:sz w:val="20"/>
        </w:rPr>
        <w:t>fixture</w:t>
      </w:r>
      <w:r w:rsidR="008547B7" w:rsidRPr="00A317FF">
        <w:rPr>
          <w:rFonts w:ascii="Arial" w:hAnsi="Arial"/>
          <w:sz w:val="20"/>
        </w:rPr>
        <w:t>s.</w:t>
      </w:r>
      <w:r w:rsidR="00B114EC" w:rsidRPr="00A317FF">
        <w:rPr>
          <w:rFonts w:ascii="Arial" w:hAnsi="Arial"/>
          <w:sz w:val="20"/>
        </w:rPr>
        <w:t xml:space="preserve"> </w:t>
      </w:r>
    </w:p>
    <w:p w14:paraId="671D1485" w14:textId="06034323" w:rsidR="00EF6429" w:rsidRDefault="00EF6429" w:rsidP="001A3026">
      <w:pPr>
        <w:rPr>
          <w:rFonts w:ascii="Arial" w:hAnsi="Arial" w:cs="Arial"/>
          <w:sz w:val="20"/>
          <w:szCs w:val="20"/>
          <w:highlight w:val="yellow"/>
        </w:rPr>
      </w:pPr>
    </w:p>
    <w:p w14:paraId="44616B1D" w14:textId="21B55340" w:rsidR="00EF6429" w:rsidRPr="00586F37" w:rsidRDefault="00EF6429" w:rsidP="00EF6429">
      <w:pPr>
        <w:rPr>
          <w:rFonts w:ascii="Arial" w:hAnsi="Arial"/>
          <w:sz w:val="20"/>
        </w:rPr>
      </w:pPr>
      <w:r w:rsidRPr="00586F37">
        <w:rPr>
          <w:rFonts w:ascii="Arial" w:hAnsi="Arial"/>
          <w:sz w:val="20"/>
        </w:rPr>
        <w:t xml:space="preserve">The fixture lumen performance in the high-bay and low-bay categories of the DLC qualified product list as of </w:t>
      </w:r>
      <w:r w:rsidR="00A317FF" w:rsidRPr="00586F37">
        <w:rPr>
          <w:rFonts w:ascii="Arial" w:hAnsi="Arial" w:cs="Arial"/>
          <w:sz w:val="20"/>
          <w:szCs w:val="20"/>
        </w:rPr>
        <w:t>March 2018</w:t>
      </w:r>
      <w:r w:rsidRPr="00586F37">
        <w:rPr>
          <w:rFonts w:ascii="Arial" w:hAnsi="Arial"/>
          <w:sz w:val="20"/>
        </w:rPr>
        <w:t xml:space="preserve"> was analyzed to justify the wattage equivalency assumptions. The </w:t>
      </w:r>
      <w:r w:rsidR="00586F37" w:rsidRPr="00586F37">
        <w:rPr>
          <w:rFonts w:ascii="Arial" w:hAnsi="Arial" w:cs="Arial"/>
          <w:sz w:val="20"/>
          <w:szCs w:val="20"/>
        </w:rPr>
        <w:t>7799</w:t>
      </w:r>
      <w:r w:rsidRPr="00586F37">
        <w:rPr>
          <w:rFonts w:ascii="Arial" w:hAnsi="Arial"/>
          <w:sz w:val="20"/>
        </w:rPr>
        <w:t xml:space="preserve"> parent products in the DLC list in these categories were analyzed for equivalency to common </w:t>
      </w:r>
      <w:r w:rsidR="00586F37" w:rsidRPr="00586F37">
        <w:rPr>
          <w:rFonts w:ascii="Arial" w:hAnsi="Arial" w:cs="Arial"/>
          <w:sz w:val="20"/>
          <w:szCs w:val="20"/>
        </w:rPr>
        <w:t xml:space="preserve">linear fluorescent </w:t>
      </w:r>
      <w:r w:rsidRPr="00586F37">
        <w:rPr>
          <w:rFonts w:ascii="Arial" w:hAnsi="Arial"/>
          <w:sz w:val="20"/>
        </w:rPr>
        <w:t xml:space="preserve">base case fixtures. </w:t>
      </w:r>
      <w:r w:rsidR="00E41728">
        <w:rPr>
          <w:rFonts w:ascii="Arial" w:hAnsi="Arial" w:cs="Arial"/>
          <w:sz w:val="20"/>
          <w:szCs w:val="20"/>
        </w:rPr>
        <w:t xml:space="preserve">Parent fixtures are the only entries </w:t>
      </w:r>
      <w:r w:rsidR="009C1B14">
        <w:rPr>
          <w:rFonts w:ascii="Arial" w:hAnsi="Arial" w:cs="Arial"/>
          <w:sz w:val="20"/>
          <w:szCs w:val="20"/>
        </w:rPr>
        <w:t>li</w:t>
      </w:r>
      <w:r w:rsidR="000049BB">
        <w:rPr>
          <w:rFonts w:ascii="Arial" w:hAnsi="Arial" w:cs="Arial"/>
          <w:sz w:val="20"/>
          <w:szCs w:val="20"/>
        </w:rPr>
        <w:t>s</w:t>
      </w:r>
      <w:r w:rsidR="00E41728">
        <w:rPr>
          <w:rFonts w:ascii="Arial" w:hAnsi="Arial" w:cs="Arial"/>
          <w:sz w:val="20"/>
          <w:szCs w:val="20"/>
        </w:rPr>
        <w:t xml:space="preserve">ted with zonal lumen data.  This is a much smaller list than the full DLC list. </w:t>
      </w:r>
    </w:p>
    <w:p w14:paraId="69B5BCE3" w14:textId="77777777" w:rsidR="00AE1753" w:rsidRDefault="00AE1753" w:rsidP="00AE1753">
      <w:pPr>
        <w:rPr>
          <w:rFonts w:ascii="Arial" w:hAnsi="Arial" w:cs="Arial"/>
          <w:color w:val="FF0000"/>
          <w:sz w:val="20"/>
          <w:szCs w:val="20"/>
        </w:rPr>
      </w:pPr>
    </w:p>
    <w:p w14:paraId="7D426675" w14:textId="7C1C4460" w:rsidR="00AE1753" w:rsidRPr="00CD3B08" w:rsidRDefault="00AE1753" w:rsidP="00AE1753">
      <w:pPr>
        <w:rPr>
          <w:rFonts w:ascii="Arial" w:hAnsi="Arial" w:cs="Arial"/>
          <w:sz w:val="20"/>
        </w:rPr>
      </w:pPr>
      <w:r>
        <w:rPr>
          <w:rFonts w:ascii="Arial" w:hAnsi="Arial" w:cs="Arial"/>
          <w:sz w:val="20"/>
        </w:rPr>
        <w:t>T</w:t>
      </w:r>
      <w:r w:rsidRPr="00CD3B08">
        <w:rPr>
          <w:rFonts w:ascii="Arial" w:hAnsi="Arial" w:cs="Arial"/>
          <w:sz w:val="20"/>
        </w:rPr>
        <w:t>wo calculation methodologies were investigated to address “measure definitions equivalent level of service” and to identify the base case wattage using the following:</w:t>
      </w:r>
    </w:p>
    <w:p w14:paraId="776189F7" w14:textId="77777777" w:rsidR="00AE1753" w:rsidRPr="00CD3B08" w:rsidRDefault="00AE1753" w:rsidP="006666F0">
      <w:pPr>
        <w:pStyle w:val="ListParagraph"/>
        <w:numPr>
          <w:ilvl w:val="0"/>
          <w:numId w:val="19"/>
        </w:numPr>
        <w:spacing w:after="200" w:line="276" w:lineRule="auto"/>
        <w:rPr>
          <w:rFonts w:ascii="Arial" w:hAnsi="Arial" w:cs="Arial"/>
          <w:sz w:val="20"/>
        </w:rPr>
      </w:pPr>
      <w:r w:rsidRPr="00CD3B08">
        <w:rPr>
          <w:rFonts w:ascii="Arial" w:hAnsi="Arial" w:cs="Arial"/>
          <w:sz w:val="20"/>
        </w:rPr>
        <w:t>Zonal Lumens</w:t>
      </w:r>
    </w:p>
    <w:p w14:paraId="73F6C57C" w14:textId="77777777" w:rsidR="00AE1753" w:rsidRPr="00CD3B08" w:rsidRDefault="00AE1753" w:rsidP="006666F0">
      <w:pPr>
        <w:pStyle w:val="ListParagraph"/>
        <w:numPr>
          <w:ilvl w:val="0"/>
          <w:numId w:val="19"/>
        </w:numPr>
        <w:spacing w:after="200" w:line="276" w:lineRule="auto"/>
        <w:rPr>
          <w:rFonts w:ascii="Arial" w:hAnsi="Arial" w:cs="Arial"/>
          <w:sz w:val="20"/>
        </w:rPr>
      </w:pPr>
      <w:r w:rsidRPr="00CD3B08">
        <w:rPr>
          <w:rFonts w:ascii="Arial" w:hAnsi="Arial" w:cs="Arial"/>
          <w:sz w:val="20"/>
        </w:rPr>
        <w:t>Useful Lumens</w:t>
      </w:r>
    </w:p>
    <w:p w14:paraId="5D031085" w14:textId="77777777" w:rsidR="00AE1753" w:rsidRPr="00CD3B08" w:rsidRDefault="00AE1753" w:rsidP="00AE1753">
      <w:pPr>
        <w:rPr>
          <w:rFonts w:ascii="Arial" w:hAnsi="Arial" w:cs="Arial"/>
          <w:sz w:val="20"/>
        </w:rPr>
      </w:pPr>
      <w:r w:rsidRPr="00CD3B08">
        <w:rPr>
          <w:rFonts w:ascii="Arial" w:hAnsi="Arial" w:cs="Arial"/>
          <w:sz w:val="20"/>
        </w:rPr>
        <w:lastRenderedPageBreak/>
        <w:t>Beyond technical accuracy, other major considerations for the evaluation were the following:</w:t>
      </w:r>
    </w:p>
    <w:p w14:paraId="599D9C80" w14:textId="77777777" w:rsidR="00AE1753" w:rsidRPr="00CD3B08" w:rsidRDefault="00AE1753" w:rsidP="006666F0">
      <w:pPr>
        <w:pStyle w:val="ListParagraph"/>
        <w:numPr>
          <w:ilvl w:val="0"/>
          <w:numId w:val="18"/>
        </w:numPr>
        <w:spacing w:after="200" w:line="276" w:lineRule="auto"/>
        <w:rPr>
          <w:rFonts w:ascii="Arial" w:hAnsi="Arial" w:cs="Arial"/>
          <w:sz w:val="20"/>
        </w:rPr>
      </w:pPr>
      <w:r w:rsidRPr="00CD3B08">
        <w:rPr>
          <w:rFonts w:ascii="Arial" w:hAnsi="Arial" w:cs="Arial"/>
          <w:sz w:val="20"/>
        </w:rPr>
        <w:t>Ease of program implementation</w:t>
      </w:r>
    </w:p>
    <w:p w14:paraId="0E89C0B5" w14:textId="77777777" w:rsidR="00AE1753" w:rsidRPr="00CD3B08" w:rsidRDefault="00AE1753" w:rsidP="006666F0">
      <w:pPr>
        <w:pStyle w:val="ListParagraph"/>
        <w:numPr>
          <w:ilvl w:val="0"/>
          <w:numId w:val="18"/>
        </w:numPr>
        <w:spacing w:after="200" w:line="276" w:lineRule="auto"/>
        <w:rPr>
          <w:rFonts w:ascii="Arial" w:hAnsi="Arial" w:cs="Arial"/>
          <w:sz w:val="20"/>
        </w:rPr>
      </w:pPr>
      <w:r w:rsidRPr="00CD3B08">
        <w:rPr>
          <w:rFonts w:ascii="Arial" w:hAnsi="Arial" w:cs="Arial"/>
          <w:sz w:val="20"/>
        </w:rPr>
        <w:t xml:space="preserve">Ease of conceptual understanding </w:t>
      </w:r>
    </w:p>
    <w:p w14:paraId="55B289F0" w14:textId="77777777" w:rsidR="00AE1753" w:rsidRPr="00CD3B08" w:rsidRDefault="00AE1753" w:rsidP="00AE1753">
      <w:pPr>
        <w:rPr>
          <w:rFonts w:ascii="Arial" w:hAnsi="Arial" w:cs="Arial"/>
          <w:sz w:val="20"/>
        </w:rPr>
      </w:pPr>
      <w:r w:rsidRPr="00CD3B08">
        <w:rPr>
          <w:rFonts w:ascii="Arial" w:hAnsi="Arial" w:cs="Arial"/>
          <w:sz w:val="20"/>
        </w:rPr>
        <w:t>I. Zonal Lumens Methodology</w:t>
      </w:r>
    </w:p>
    <w:p w14:paraId="0E4AD0AC" w14:textId="77777777" w:rsidR="002245D6" w:rsidRDefault="00C8396C" w:rsidP="00AE1753">
      <w:pPr>
        <w:jc w:val="both"/>
        <w:rPr>
          <w:rFonts w:ascii="Arial" w:hAnsi="Arial" w:cs="Arial"/>
          <w:sz w:val="20"/>
        </w:rPr>
      </w:pPr>
      <w:r>
        <w:rPr>
          <w:rFonts w:ascii="Arial" w:hAnsi="Arial" w:cs="Arial"/>
          <w:sz w:val="20"/>
        </w:rPr>
        <w:t>The zonal lumen methodology analyzes</w:t>
      </w:r>
      <w:r w:rsidR="00AE1753" w:rsidRPr="00CD3B08">
        <w:rPr>
          <w:rFonts w:ascii="Arial" w:hAnsi="Arial" w:cs="Arial"/>
          <w:sz w:val="20"/>
        </w:rPr>
        <w:t xml:space="preserve"> useful light output </w:t>
      </w:r>
      <w:r>
        <w:rPr>
          <w:rFonts w:ascii="Arial" w:hAnsi="Arial" w:cs="Arial"/>
          <w:sz w:val="20"/>
        </w:rPr>
        <w:t xml:space="preserve">in a specific zone </w:t>
      </w:r>
      <w:r w:rsidR="00AE1753" w:rsidRPr="00CD3B08">
        <w:rPr>
          <w:rFonts w:ascii="Arial" w:hAnsi="Arial" w:cs="Arial"/>
          <w:sz w:val="20"/>
        </w:rPr>
        <w:t>to ensure equivalent performance</w:t>
      </w:r>
      <w:r>
        <w:rPr>
          <w:rFonts w:ascii="Arial" w:hAnsi="Arial" w:cs="Arial"/>
          <w:sz w:val="20"/>
        </w:rPr>
        <w:t xml:space="preserve"> between LED and linear fluorescent fixtures</w:t>
      </w:r>
      <w:r w:rsidR="00AE1753" w:rsidRPr="00CD3B08">
        <w:rPr>
          <w:rFonts w:ascii="Arial" w:hAnsi="Arial" w:cs="Arial"/>
          <w:sz w:val="20"/>
        </w:rPr>
        <w:t>. PG&amp;E’s previous workpaper introduced zonal lumens as a proxy fo</w:t>
      </w:r>
      <w:r>
        <w:rPr>
          <w:rFonts w:ascii="Arial" w:hAnsi="Arial" w:cs="Arial"/>
          <w:sz w:val="20"/>
        </w:rPr>
        <w:t>r useful light output, and uses the definition from</w:t>
      </w:r>
      <w:r w:rsidR="00AE1753" w:rsidRPr="00CD3B08">
        <w:rPr>
          <w:rFonts w:ascii="Arial" w:hAnsi="Arial" w:cs="Arial"/>
          <w:sz w:val="20"/>
        </w:rPr>
        <w:t xml:space="preserve"> the DesignLights Consortium specified minimum requirement zone: 20 to 50 degrees from nadir.</w:t>
      </w:r>
    </w:p>
    <w:p w14:paraId="7F05C929" w14:textId="75CF3928" w:rsidR="002245D6" w:rsidRDefault="002245D6" w:rsidP="00AE1753">
      <w:pPr>
        <w:jc w:val="both"/>
        <w:rPr>
          <w:rFonts w:ascii="Arial" w:hAnsi="Arial" w:cs="Arial"/>
          <w:sz w:val="20"/>
        </w:rPr>
      </w:pPr>
    </w:p>
    <w:p w14:paraId="260E8738" w14:textId="77777777" w:rsidR="00E94C25" w:rsidRDefault="00855090" w:rsidP="00E94C25">
      <w:pPr>
        <w:keepNext/>
        <w:jc w:val="center"/>
      </w:pPr>
      <w:r>
        <w:rPr>
          <w:rFonts w:ascii="Arial" w:hAnsi="Arial" w:cs="Arial"/>
          <w:noProof/>
          <w:sz w:val="20"/>
        </w:rPr>
        <w:drawing>
          <wp:inline distT="0" distB="0" distL="0" distR="0" wp14:anchorId="346128D4" wp14:editId="559508E2">
            <wp:extent cx="2686050" cy="2818877"/>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ighBayZonal.png"/>
                    <pic:cNvPicPr/>
                  </pic:nvPicPr>
                  <pic:blipFill>
                    <a:blip r:embed="rId19">
                      <a:extLst>
                        <a:ext uri="{28A0092B-C50C-407E-A947-70E740481C1C}">
                          <a14:useLocalDpi xmlns:a14="http://schemas.microsoft.com/office/drawing/2010/main" val="0"/>
                        </a:ext>
                      </a:extLst>
                    </a:blip>
                    <a:stretch>
                      <a:fillRect/>
                    </a:stretch>
                  </pic:blipFill>
                  <pic:spPr>
                    <a:xfrm>
                      <a:off x="0" y="0"/>
                      <a:ext cx="2700286" cy="2833817"/>
                    </a:xfrm>
                    <a:prstGeom prst="rect">
                      <a:avLst/>
                    </a:prstGeom>
                  </pic:spPr>
                </pic:pic>
              </a:graphicData>
            </a:graphic>
          </wp:inline>
        </w:drawing>
      </w:r>
    </w:p>
    <w:p w14:paraId="29D0ADE4" w14:textId="7EA79E8D" w:rsidR="00A94774" w:rsidRDefault="00E94C25" w:rsidP="00E94C25">
      <w:pPr>
        <w:pStyle w:val="Caption"/>
        <w:jc w:val="center"/>
        <w:rPr>
          <w:rFonts w:ascii="Arial" w:hAnsi="Arial" w:cs="Arial"/>
        </w:rPr>
      </w:pPr>
      <w:bookmarkStart w:id="125" w:name="_Toc511244931"/>
      <w:r>
        <w:t xml:space="preserve">Figure </w:t>
      </w:r>
      <w:r w:rsidR="00C426D4">
        <w:fldChar w:fldCharType="begin"/>
      </w:r>
      <w:r w:rsidR="00C426D4">
        <w:instrText xml:space="preserve"> SEQ Figure \* ARABIC </w:instrText>
      </w:r>
      <w:r w:rsidR="00C426D4">
        <w:fldChar w:fldCharType="separate"/>
      </w:r>
      <w:r>
        <w:rPr>
          <w:noProof/>
        </w:rPr>
        <w:t>2</w:t>
      </w:r>
      <w:r w:rsidR="00C426D4">
        <w:rPr>
          <w:noProof/>
        </w:rPr>
        <w:fldChar w:fldCharType="end"/>
      </w:r>
      <w:r>
        <w:t xml:space="preserve"> – Example of Zonal Lumen in the 20 – 50 degrees</w:t>
      </w:r>
      <w:bookmarkEnd w:id="125"/>
    </w:p>
    <w:p w14:paraId="0C859BF8" w14:textId="07CA953E" w:rsidR="00A03509" w:rsidRPr="00A03509" w:rsidRDefault="1AA8F051" w:rsidP="00855090">
      <w:pPr>
        <w:jc w:val="center"/>
        <w:rPr>
          <w:rFonts w:ascii="Arial" w:hAnsi="Arial" w:cs="Arial"/>
          <w:sz w:val="16"/>
        </w:rPr>
      </w:pPr>
      <w:r w:rsidRPr="1AA8F051">
        <w:rPr>
          <w:rFonts w:ascii="Arial" w:hAnsi="Arial" w:cs="Arial"/>
          <w:sz w:val="20"/>
          <w:szCs w:val="20"/>
        </w:rPr>
        <w:t xml:space="preserve">(Source: Visual-3d </w:t>
      </w:r>
      <w:hyperlink r:id="rId20">
        <w:r w:rsidRPr="1AA8F051">
          <w:rPr>
            <w:rStyle w:val="Hyperlink"/>
            <w:rFonts w:ascii="Arial" w:hAnsi="Arial" w:cs="Arial"/>
            <w:sz w:val="20"/>
            <w:szCs w:val="20"/>
          </w:rPr>
          <w:t>http://www.visual-3d.com/tools/photometricViewer/default.aspx?id=18586</w:t>
        </w:r>
      </w:hyperlink>
      <w:r w:rsidRPr="1AA8F051">
        <w:rPr>
          <w:rFonts w:ascii="Arial" w:hAnsi="Arial" w:cs="Arial"/>
          <w:sz w:val="20"/>
          <w:szCs w:val="20"/>
        </w:rPr>
        <w:t>)</w:t>
      </w:r>
    </w:p>
    <w:p w14:paraId="1B1A47D2" w14:textId="77777777" w:rsidR="00A94774" w:rsidRDefault="00A94774" w:rsidP="00AE1753">
      <w:pPr>
        <w:jc w:val="both"/>
        <w:rPr>
          <w:rFonts w:ascii="Arial" w:hAnsi="Arial" w:cs="Arial"/>
          <w:sz w:val="20"/>
        </w:rPr>
      </w:pPr>
    </w:p>
    <w:p w14:paraId="1C0335F0" w14:textId="77777777" w:rsidR="002245D6" w:rsidRPr="00CD3B08" w:rsidRDefault="002245D6" w:rsidP="002245D6">
      <w:pPr>
        <w:jc w:val="both"/>
        <w:rPr>
          <w:rFonts w:ascii="Arial" w:hAnsi="Arial" w:cs="Arial"/>
          <w:sz w:val="20"/>
        </w:rPr>
      </w:pPr>
      <w:r w:rsidRPr="00CD3B08">
        <w:rPr>
          <w:rFonts w:ascii="Arial" w:hAnsi="Arial" w:cs="Arial"/>
          <w:sz w:val="20"/>
        </w:rPr>
        <w:t>II. Useful Lumens Methodology</w:t>
      </w:r>
    </w:p>
    <w:p w14:paraId="423909C9" w14:textId="77777777" w:rsidR="002245D6" w:rsidRPr="00CD3B08" w:rsidRDefault="002245D6" w:rsidP="002245D6">
      <w:pPr>
        <w:jc w:val="both"/>
        <w:rPr>
          <w:rFonts w:ascii="Arial" w:hAnsi="Arial" w:cs="Arial"/>
          <w:sz w:val="20"/>
        </w:rPr>
      </w:pPr>
      <w:r w:rsidRPr="00CD3B08">
        <w:rPr>
          <w:rFonts w:ascii="Arial" w:hAnsi="Arial" w:cs="Arial"/>
          <w:sz w:val="20"/>
        </w:rPr>
        <w:t>While the zonal lumens between 20 to 50 degrees is the most important, the single number can be a more crude approximation than necessary if full information is available on fixture light distribution and the task plane shape. For example, it is important that fixtures provide some light between zero and 20 degrees: darkness would be unacceptable there. Furthermore, more lumens should be provided at 40 – 50 degrees than 20 – 30 degrees—4.57 times more, in fact—because of the following:</w:t>
      </w:r>
    </w:p>
    <w:p w14:paraId="21393671" w14:textId="77777777" w:rsidR="002245D6" w:rsidRPr="00CD3B08" w:rsidRDefault="002245D6" w:rsidP="002245D6">
      <w:pPr>
        <w:ind w:left="810"/>
        <w:jc w:val="both"/>
        <w:rPr>
          <w:rFonts w:ascii="Arial" w:hAnsi="Arial" w:cs="Arial"/>
          <w:sz w:val="20"/>
        </w:rPr>
      </w:pPr>
    </w:p>
    <w:p w14:paraId="2AEA5F66" w14:textId="77777777" w:rsidR="002245D6" w:rsidRPr="00CD3B08" w:rsidRDefault="002245D6" w:rsidP="002245D6">
      <w:pPr>
        <w:ind w:left="810"/>
        <w:jc w:val="both"/>
        <w:rPr>
          <w:rFonts w:ascii="Arial" w:hAnsi="Arial" w:cs="Arial"/>
          <w:sz w:val="20"/>
        </w:rPr>
      </w:pPr>
      <w:r w:rsidRPr="00CD3B08">
        <w:rPr>
          <w:rFonts w:ascii="Arial" w:hAnsi="Arial" w:cs="Arial"/>
          <w:sz w:val="20"/>
        </w:rPr>
        <w:t>A) represents a larger area further away from the fixture, and</w:t>
      </w:r>
    </w:p>
    <w:p w14:paraId="7C5A976E" w14:textId="70C30D59" w:rsidR="002245D6" w:rsidRPr="00CD3B08" w:rsidRDefault="002245D6" w:rsidP="002245D6">
      <w:pPr>
        <w:ind w:left="810"/>
        <w:jc w:val="both"/>
        <w:rPr>
          <w:rFonts w:ascii="Arial" w:hAnsi="Arial" w:cs="Arial"/>
          <w:sz w:val="20"/>
        </w:rPr>
      </w:pPr>
      <w:r w:rsidRPr="00CD3B08">
        <w:rPr>
          <w:rFonts w:ascii="Arial" w:hAnsi="Arial" w:cs="Arial"/>
          <w:sz w:val="20"/>
        </w:rPr>
        <w:t>B) requires h</w:t>
      </w:r>
      <w:r w:rsidR="002C7DD2">
        <w:rPr>
          <w:rFonts w:ascii="Arial" w:hAnsi="Arial" w:cs="Arial"/>
          <w:sz w:val="20"/>
        </w:rPr>
        <w:t xml:space="preserve">igher lumen output with the ten </w:t>
      </w:r>
      <w:r w:rsidRPr="00CD3B08">
        <w:rPr>
          <w:rFonts w:ascii="Arial" w:hAnsi="Arial" w:cs="Arial"/>
          <w:sz w:val="20"/>
        </w:rPr>
        <w:t xml:space="preserve">degree range to achieve the same horizontal illuminance. </w:t>
      </w:r>
    </w:p>
    <w:p w14:paraId="3A704CD3" w14:textId="77777777" w:rsidR="002245D6" w:rsidRPr="00CD3B08" w:rsidRDefault="002245D6" w:rsidP="002245D6">
      <w:pPr>
        <w:ind w:left="360"/>
        <w:jc w:val="both"/>
        <w:rPr>
          <w:rFonts w:ascii="Arial" w:hAnsi="Arial" w:cs="Arial"/>
          <w:sz w:val="20"/>
        </w:rPr>
      </w:pPr>
    </w:p>
    <w:p w14:paraId="014009DB" w14:textId="77777777" w:rsidR="002245D6" w:rsidRPr="00CD3B08" w:rsidRDefault="002245D6" w:rsidP="002245D6">
      <w:pPr>
        <w:jc w:val="both"/>
        <w:rPr>
          <w:rFonts w:ascii="Arial" w:hAnsi="Arial" w:cs="Arial"/>
          <w:sz w:val="20"/>
        </w:rPr>
      </w:pPr>
      <w:r w:rsidRPr="00CD3B08">
        <w:rPr>
          <w:rFonts w:ascii="Arial" w:hAnsi="Arial" w:cs="Arial"/>
          <w:sz w:val="20"/>
        </w:rPr>
        <w:t>These savings</w:t>
      </w:r>
      <w:r>
        <w:rPr>
          <w:rFonts w:ascii="Arial" w:hAnsi="Arial" w:cs="Arial"/>
          <w:sz w:val="20"/>
        </w:rPr>
        <w:t>’</w:t>
      </w:r>
      <w:r w:rsidRPr="00CD3B08">
        <w:rPr>
          <w:rFonts w:ascii="Arial" w:hAnsi="Arial" w:cs="Arial"/>
          <w:sz w:val="20"/>
        </w:rPr>
        <w:t xml:space="preserve"> calculations expand on the zonal lumens concept to define equivalent performance in gradations of 10 degrees from 0 to 50 degrees from vertical and based on photometric division of lumen output. However, limitations in the assumptions required for uniformity-based calculations make this approach less desirable than the zonal lumens approach, namely:</w:t>
      </w:r>
    </w:p>
    <w:p w14:paraId="10C6C9D0" w14:textId="77777777" w:rsidR="002245D6" w:rsidRPr="00CD3B08" w:rsidRDefault="002245D6" w:rsidP="002245D6">
      <w:pPr>
        <w:ind w:left="810"/>
        <w:jc w:val="both"/>
        <w:rPr>
          <w:rFonts w:ascii="Arial" w:hAnsi="Arial" w:cs="Arial"/>
          <w:sz w:val="20"/>
        </w:rPr>
      </w:pPr>
      <w:r w:rsidRPr="00CD3B08">
        <w:rPr>
          <w:rFonts w:ascii="Arial" w:hAnsi="Arial" w:cs="Arial"/>
          <w:sz w:val="20"/>
        </w:rPr>
        <w:t>A) the assumptions of a uniform task plane, especially horizontal-only, don’t capture indoor environments such as warehouses,</w:t>
      </w:r>
    </w:p>
    <w:p w14:paraId="3538ED55" w14:textId="77777777" w:rsidR="002245D6" w:rsidRPr="00CD3B08" w:rsidRDefault="002245D6" w:rsidP="002245D6">
      <w:pPr>
        <w:ind w:left="810"/>
        <w:jc w:val="both"/>
        <w:rPr>
          <w:rFonts w:ascii="Arial" w:hAnsi="Arial" w:cs="Arial"/>
          <w:sz w:val="20"/>
        </w:rPr>
      </w:pPr>
      <w:r w:rsidRPr="00CD3B08">
        <w:rPr>
          <w:rFonts w:ascii="Arial" w:hAnsi="Arial" w:cs="Arial"/>
          <w:sz w:val="20"/>
        </w:rPr>
        <w:t>B) uniformity is much less of a limiting factor in indoor high-bay lighting than, for example, in outdoor lighting, and higher-illuminance areas may even be desirable,</w:t>
      </w:r>
    </w:p>
    <w:p w14:paraId="63F5A0C5" w14:textId="77777777" w:rsidR="002245D6" w:rsidRPr="00CD3B08" w:rsidRDefault="002245D6" w:rsidP="002245D6">
      <w:pPr>
        <w:ind w:left="810"/>
        <w:jc w:val="both"/>
        <w:rPr>
          <w:rFonts w:ascii="Arial" w:hAnsi="Arial" w:cs="Arial"/>
          <w:sz w:val="20"/>
        </w:rPr>
      </w:pPr>
      <w:r w:rsidRPr="00CD3B08">
        <w:rPr>
          <w:rFonts w:ascii="Arial" w:hAnsi="Arial" w:cs="Arial"/>
          <w:sz w:val="20"/>
        </w:rPr>
        <w:t>C) the method brings complexity without clear, significant benefit.</w:t>
      </w:r>
    </w:p>
    <w:p w14:paraId="61258150" w14:textId="77777777" w:rsidR="002245D6" w:rsidRPr="00CD3B08" w:rsidRDefault="002245D6" w:rsidP="002245D6">
      <w:pPr>
        <w:jc w:val="both"/>
        <w:rPr>
          <w:rFonts w:ascii="Arial" w:hAnsi="Arial" w:cs="Arial"/>
          <w:sz w:val="20"/>
        </w:rPr>
      </w:pPr>
    </w:p>
    <w:p w14:paraId="64C42814" w14:textId="77777777" w:rsidR="00E94C25" w:rsidRDefault="00A03509" w:rsidP="00E94C25">
      <w:pPr>
        <w:keepNext/>
        <w:jc w:val="center"/>
      </w:pPr>
      <w:r>
        <w:rPr>
          <w:rFonts w:ascii="Arial" w:hAnsi="Arial" w:cs="Arial"/>
          <w:noProof/>
          <w:sz w:val="20"/>
        </w:rPr>
        <w:lastRenderedPageBreak/>
        <w:drawing>
          <wp:inline distT="0" distB="0" distL="0" distR="0" wp14:anchorId="2F324859" wp14:editId="3814B15D">
            <wp:extent cx="3363632" cy="352996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ighBayUseful.png"/>
                    <pic:cNvPicPr/>
                  </pic:nvPicPr>
                  <pic:blipFill>
                    <a:blip r:embed="rId21">
                      <a:extLst>
                        <a:ext uri="{28A0092B-C50C-407E-A947-70E740481C1C}">
                          <a14:useLocalDpi xmlns:a14="http://schemas.microsoft.com/office/drawing/2010/main" val="0"/>
                        </a:ext>
                      </a:extLst>
                    </a:blip>
                    <a:stretch>
                      <a:fillRect/>
                    </a:stretch>
                  </pic:blipFill>
                  <pic:spPr>
                    <a:xfrm>
                      <a:off x="0" y="0"/>
                      <a:ext cx="3366743" cy="3533230"/>
                    </a:xfrm>
                    <a:prstGeom prst="rect">
                      <a:avLst/>
                    </a:prstGeom>
                  </pic:spPr>
                </pic:pic>
              </a:graphicData>
            </a:graphic>
          </wp:inline>
        </w:drawing>
      </w:r>
    </w:p>
    <w:p w14:paraId="43B7DEA9" w14:textId="6F5C1682" w:rsidR="00A03509" w:rsidRDefault="00E94C25" w:rsidP="00E94C25">
      <w:pPr>
        <w:pStyle w:val="Caption"/>
        <w:jc w:val="center"/>
        <w:rPr>
          <w:rFonts w:ascii="Arial" w:hAnsi="Arial" w:cs="Arial"/>
        </w:rPr>
      </w:pPr>
      <w:bookmarkStart w:id="126" w:name="_Toc511244932"/>
      <w:r>
        <w:t xml:space="preserve">Figure </w:t>
      </w:r>
      <w:r w:rsidR="00C426D4">
        <w:fldChar w:fldCharType="begin"/>
      </w:r>
      <w:r w:rsidR="00C426D4">
        <w:instrText xml:space="preserve"> SEQ Figure \* ARABIC </w:instrText>
      </w:r>
      <w:r w:rsidR="00C426D4">
        <w:fldChar w:fldCharType="separate"/>
      </w:r>
      <w:r>
        <w:rPr>
          <w:noProof/>
        </w:rPr>
        <w:t>3</w:t>
      </w:r>
      <w:r w:rsidR="00C426D4">
        <w:rPr>
          <w:noProof/>
        </w:rPr>
        <w:fldChar w:fldCharType="end"/>
      </w:r>
      <w:r>
        <w:t xml:space="preserve"> – Example of Useful Lumens in the 0 – 50 degrees</w:t>
      </w:r>
      <w:bookmarkEnd w:id="126"/>
    </w:p>
    <w:p w14:paraId="028B591A" w14:textId="75FE872B" w:rsidR="00A03509" w:rsidRPr="00A03509" w:rsidRDefault="1AA8F051" w:rsidP="00A03509">
      <w:pPr>
        <w:jc w:val="center"/>
        <w:rPr>
          <w:rFonts w:ascii="Arial" w:hAnsi="Arial" w:cs="Arial"/>
          <w:sz w:val="16"/>
        </w:rPr>
      </w:pPr>
      <w:r w:rsidRPr="1AA8F051">
        <w:rPr>
          <w:rFonts w:ascii="Arial" w:hAnsi="Arial" w:cs="Arial"/>
          <w:sz w:val="20"/>
          <w:szCs w:val="20"/>
        </w:rPr>
        <w:t xml:space="preserve">(Source: Visual-3d </w:t>
      </w:r>
      <w:hyperlink r:id="rId22">
        <w:r w:rsidRPr="1AA8F051">
          <w:rPr>
            <w:rStyle w:val="Hyperlink"/>
            <w:rFonts w:ascii="Arial" w:hAnsi="Arial" w:cs="Arial"/>
            <w:sz w:val="20"/>
            <w:szCs w:val="20"/>
          </w:rPr>
          <w:t>http://www.visual-3d.com/tools/photometricViewer/default.aspx?id=18586</w:t>
        </w:r>
      </w:hyperlink>
      <w:r w:rsidRPr="1AA8F051">
        <w:rPr>
          <w:rFonts w:ascii="Arial" w:hAnsi="Arial" w:cs="Arial"/>
          <w:sz w:val="20"/>
          <w:szCs w:val="20"/>
        </w:rPr>
        <w:t>)</w:t>
      </w:r>
    </w:p>
    <w:p w14:paraId="0BAF2D11" w14:textId="77777777" w:rsidR="00A03509" w:rsidRDefault="00A03509" w:rsidP="00AE1753">
      <w:pPr>
        <w:jc w:val="both"/>
        <w:rPr>
          <w:rFonts w:ascii="Arial" w:hAnsi="Arial" w:cs="Arial"/>
          <w:sz w:val="20"/>
        </w:rPr>
      </w:pPr>
    </w:p>
    <w:p w14:paraId="3D62A024" w14:textId="43E38D43" w:rsidR="00AE1753" w:rsidRPr="00CD3B08" w:rsidRDefault="002245D6" w:rsidP="00AE1753">
      <w:pPr>
        <w:jc w:val="both"/>
        <w:rPr>
          <w:rFonts w:ascii="Arial" w:hAnsi="Arial" w:cs="Arial"/>
          <w:sz w:val="20"/>
        </w:rPr>
      </w:pPr>
      <w:r w:rsidRPr="00CD3B08">
        <w:rPr>
          <w:rFonts w:ascii="Arial" w:hAnsi="Arial" w:cs="Arial"/>
          <w:sz w:val="20"/>
        </w:rPr>
        <w:t>The savings calculations will continue to utilize Zonal Lumens, as this method approximates the level of service provided by the luminaires at least as well as the other method, and does so without unnecessary complexity.</w:t>
      </w:r>
      <w:r w:rsidR="00AE1753" w:rsidRPr="00CD3B08">
        <w:rPr>
          <w:rFonts w:ascii="Arial" w:hAnsi="Arial" w:cs="Arial"/>
          <w:sz w:val="20"/>
        </w:rPr>
        <w:t xml:space="preserve"> </w:t>
      </w:r>
    </w:p>
    <w:p w14:paraId="0BA66AC2" w14:textId="77777777" w:rsidR="00AE1753" w:rsidRPr="00CD3B08" w:rsidRDefault="00AE1753" w:rsidP="00AE1753">
      <w:pPr>
        <w:jc w:val="both"/>
        <w:rPr>
          <w:rFonts w:ascii="Arial" w:hAnsi="Arial" w:cs="Arial"/>
          <w:sz w:val="20"/>
        </w:rPr>
      </w:pPr>
    </w:p>
    <w:p w14:paraId="718CC729" w14:textId="5589A4F0" w:rsidR="00EF6429" w:rsidRPr="003C7382" w:rsidRDefault="00EF6429" w:rsidP="00EF6429">
      <w:pPr>
        <w:rPr>
          <w:rFonts w:ascii="Arial" w:hAnsi="Arial" w:cs="Arial"/>
          <w:sz w:val="20"/>
          <w:szCs w:val="20"/>
        </w:rPr>
      </w:pPr>
      <w:r w:rsidRPr="003C7382">
        <w:rPr>
          <w:rFonts w:ascii="Arial" w:hAnsi="Arial" w:cs="Arial"/>
          <w:sz w:val="20"/>
          <w:szCs w:val="20"/>
        </w:rPr>
        <w:t xml:space="preserve">Many </w:t>
      </w:r>
      <w:r w:rsidRPr="003C7382" w:rsidDel="006234EB">
        <w:rPr>
          <w:rFonts w:ascii="Arial" w:hAnsi="Arial" w:cs="Arial"/>
          <w:sz w:val="20"/>
          <w:szCs w:val="20"/>
        </w:rPr>
        <w:t xml:space="preserve">Pulse Start Metal Halide HID and </w:t>
      </w:r>
      <w:r w:rsidRPr="003C7382">
        <w:rPr>
          <w:rFonts w:ascii="Arial" w:hAnsi="Arial" w:cs="Arial"/>
          <w:sz w:val="20"/>
          <w:szCs w:val="20"/>
        </w:rPr>
        <w:t xml:space="preserve">linear fluorescent fixtures commonly over-illuminate the area directly beneath the fixture (0° - 20°) simply because they lack the ability to direct light to where it is needed most.  </w:t>
      </w:r>
      <w:r w:rsidRPr="003C7382" w:rsidDel="006234EB">
        <w:rPr>
          <w:rFonts w:ascii="Arial" w:hAnsi="Arial" w:cs="Arial"/>
          <w:sz w:val="20"/>
          <w:szCs w:val="20"/>
        </w:rPr>
        <w:t xml:space="preserve">Pulse Start Metal Halide HID and </w:t>
      </w:r>
      <w:r w:rsidRPr="003C7382">
        <w:rPr>
          <w:rFonts w:ascii="Arial" w:hAnsi="Arial" w:cs="Arial"/>
          <w:sz w:val="20"/>
          <w:szCs w:val="20"/>
        </w:rPr>
        <w:t xml:space="preserve">linear fluorescent sources may achieve a higher average illuminance than an LED source (and have a correspondingly higher lumen output), however they achieve similar minimum illuminance because the LED fixture may be able to do a better job of directing light out to the edges of the illuminated space. </w:t>
      </w:r>
    </w:p>
    <w:p w14:paraId="40C172F2" w14:textId="77777777" w:rsidR="00EF6429" w:rsidRPr="003C7382" w:rsidRDefault="00EF6429" w:rsidP="00EF6429">
      <w:pPr>
        <w:rPr>
          <w:rFonts w:ascii="Arial" w:hAnsi="Arial" w:cs="Arial"/>
          <w:sz w:val="20"/>
          <w:szCs w:val="20"/>
        </w:rPr>
      </w:pPr>
    </w:p>
    <w:p w14:paraId="58637BEA" w14:textId="72171DED" w:rsidR="00EF6429" w:rsidRPr="003C7382" w:rsidRDefault="00EF6429" w:rsidP="00EF6429">
      <w:pPr>
        <w:rPr>
          <w:rFonts w:ascii="Arial" w:hAnsi="Arial" w:cs="Arial"/>
          <w:sz w:val="20"/>
          <w:szCs w:val="20"/>
        </w:rPr>
      </w:pPr>
      <w:r w:rsidRPr="003C7382">
        <w:rPr>
          <w:rFonts w:ascii="Arial" w:hAnsi="Arial" w:cs="Arial"/>
          <w:sz w:val="20"/>
          <w:szCs w:val="20"/>
        </w:rPr>
        <w:t xml:space="preserve">The analysis of lumen performance focuses on light distribution differences from </w:t>
      </w:r>
      <w:r w:rsidRPr="003C7382" w:rsidDel="006234EB">
        <w:rPr>
          <w:rFonts w:ascii="Arial" w:hAnsi="Arial" w:cs="Arial"/>
          <w:sz w:val="20"/>
          <w:szCs w:val="20"/>
        </w:rPr>
        <w:t xml:space="preserve">HID, </w:t>
      </w:r>
      <w:r w:rsidRPr="003C7382">
        <w:rPr>
          <w:rFonts w:ascii="Arial" w:hAnsi="Arial" w:cs="Arial"/>
          <w:sz w:val="20"/>
          <w:szCs w:val="20"/>
        </w:rPr>
        <w:t xml:space="preserve">Fluorescent &amp; LED technologies. </w:t>
      </w:r>
      <w:r w:rsidRPr="003C7382" w:rsidDel="006234EB">
        <w:rPr>
          <w:rFonts w:ascii="Arial" w:hAnsi="Arial" w:cs="Arial"/>
          <w:sz w:val="20"/>
          <w:szCs w:val="20"/>
        </w:rPr>
        <w:t xml:space="preserve">HID &amp; </w:t>
      </w:r>
      <w:r w:rsidRPr="003C7382">
        <w:rPr>
          <w:rFonts w:ascii="Arial" w:hAnsi="Arial" w:cs="Arial"/>
          <w:sz w:val="20"/>
          <w:szCs w:val="20"/>
        </w:rPr>
        <w:t>Fluorescent</w:t>
      </w:r>
      <w:r w:rsidRPr="003C7382" w:rsidDel="006234EB">
        <w:rPr>
          <w:rFonts w:ascii="Arial" w:hAnsi="Arial" w:cs="Arial"/>
          <w:sz w:val="20"/>
          <w:szCs w:val="20"/>
        </w:rPr>
        <w:t>,</w:t>
      </w:r>
      <w:r w:rsidRPr="003C7382">
        <w:rPr>
          <w:rFonts w:ascii="Arial" w:hAnsi="Arial" w:cs="Arial"/>
          <w:sz w:val="20"/>
          <w:szCs w:val="20"/>
        </w:rPr>
        <w:t xml:space="preserve"> as </w:t>
      </w:r>
      <w:r w:rsidR="006234EB" w:rsidRPr="003C7382">
        <w:rPr>
          <w:rFonts w:ascii="Arial" w:hAnsi="Arial" w:cs="Arial"/>
          <w:sz w:val="20"/>
          <w:szCs w:val="20"/>
        </w:rPr>
        <w:t>o</w:t>
      </w:r>
      <w:r w:rsidRPr="003C7382">
        <w:rPr>
          <w:rFonts w:ascii="Arial" w:hAnsi="Arial" w:cs="Arial"/>
          <w:sz w:val="20"/>
          <w:szCs w:val="20"/>
        </w:rPr>
        <w:t>mni-directional source</w:t>
      </w:r>
      <w:r w:rsidRPr="003C7382" w:rsidDel="006234EB">
        <w:rPr>
          <w:rFonts w:ascii="Arial" w:hAnsi="Arial" w:cs="Arial"/>
          <w:sz w:val="20"/>
          <w:szCs w:val="20"/>
        </w:rPr>
        <w:t>s</w:t>
      </w:r>
      <w:r w:rsidRPr="003C7382">
        <w:rPr>
          <w:rFonts w:ascii="Arial" w:hAnsi="Arial" w:cs="Arial"/>
          <w:sz w:val="20"/>
          <w:szCs w:val="20"/>
        </w:rPr>
        <w:t xml:space="preserve">, </w:t>
      </w:r>
      <w:r w:rsidRPr="003C7382" w:rsidDel="006234EB">
        <w:rPr>
          <w:rFonts w:ascii="Arial" w:hAnsi="Arial" w:cs="Arial"/>
          <w:sz w:val="20"/>
          <w:szCs w:val="20"/>
        </w:rPr>
        <w:t xml:space="preserve">are </w:t>
      </w:r>
      <w:r w:rsidRPr="003C7382">
        <w:rPr>
          <w:rFonts w:ascii="Arial" w:hAnsi="Arial" w:cs="Arial"/>
          <w:sz w:val="20"/>
          <w:szCs w:val="20"/>
        </w:rPr>
        <w:t>not as successful in effectively spreading out light and avoiding pools of light below each fixture, which is sometimes seen in product data as a higher percentage of lumens in the 0 - 20° zone. Th</w:t>
      </w:r>
      <w:r w:rsidR="00457358" w:rsidRPr="003C7382">
        <w:rPr>
          <w:rFonts w:ascii="Arial" w:hAnsi="Arial" w:cs="Arial"/>
          <w:sz w:val="20"/>
          <w:szCs w:val="20"/>
        </w:rPr>
        <w:t>is</w:t>
      </w:r>
      <w:r w:rsidRPr="003C7382">
        <w:rPr>
          <w:rFonts w:ascii="Arial" w:hAnsi="Arial" w:cs="Arial"/>
          <w:sz w:val="20"/>
          <w:szCs w:val="20"/>
        </w:rPr>
        <w:t xml:space="preserve"> analysis estimates the degree to which LEDs with better directional light control can replace fluorescent </w:t>
      </w:r>
      <w:r w:rsidRPr="003C7382" w:rsidDel="006234EB">
        <w:rPr>
          <w:rFonts w:ascii="Arial" w:hAnsi="Arial" w:cs="Arial"/>
          <w:sz w:val="20"/>
          <w:szCs w:val="20"/>
        </w:rPr>
        <w:t xml:space="preserve">and HID </w:t>
      </w:r>
      <w:r w:rsidRPr="003C7382">
        <w:rPr>
          <w:rFonts w:ascii="Arial" w:hAnsi="Arial" w:cs="Arial"/>
          <w:sz w:val="20"/>
          <w:szCs w:val="20"/>
        </w:rPr>
        <w:t>products with higher total light outputs</w:t>
      </w:r>
      <w:r w:rsidR="00457358" w:rsidRPr="003C7382">
        <w:rPr>
          <w:rFonts w:ascii="Arial" w:hAnsi="Arial" w:cs="Arial"/>
          <w:sz w:val="20"/>
          <w:szCs w:val="20"/>
        </w:rPr>
        <w:t>. T</w:t>
      </w:r>
      <w:r w:rsidRPr="003C7382">
        <w:rPr>
          <w:rFonts w:ascii="Arial" w:hAnsi="Arial" w:cs="Arial"/>
          <w:sz w:val="20"/>
          <w:szCs w:val="20"/>
        </w:rPr>
        <w:t xml:space="preserve">he same data from </w:t>
      </w:r>
      <w:r w:rsidR="00457358" w:rsidRPr="003C7382">
        <w:rPr>
          <w:rFonts w:ascii="Arial" w:hAnsi="Arial" w:cs="Arial"/>
          <w:sz w:val="20"/>
          <w:szCs w:val="20"/>
        </w:rPr>
        <w:t xml:space="preserve">Revision 2 of the </w:t>
      </w:r>
      <w:r w:rsidRPr="003C7382">
        <w:rPr>
          <w:rFonts w:ascii="Arial" w:hAnsi="Arial" w:cs="Arial"/>
          <w:sz w:val="20"/>
          <w:szCs w:val="20"/>
        </w:rPr>
        <w:t>workpaper is used for this update as the fundamental relationships of light distribution have not changed.</w:t>
      </w:r>
    </w:p>
    <w:p w14:paraId="2357CC1E" w14:textId="0D1C087D" w:rsidR="00BC69E5" w:rsidRPr="003C7382" w:rsidRDefault="00BC69E5" w:rsidP="00EF6429">
      <w:pPr>
        <w:rPr>
          <w:rFonts w:ascii="Arial" w:hAnsi="Arial" w:cs="Arial"/>
          <w:sz w:val="20"/>
          <w:szCs w:val="20"/>
        </w:rPr>
      </w:pPr>
    </w:p>
    <w:p w14:paraId="39272A69" w14:textId="0CD6CE3D" w:rsidR="00EF6429" w:rsidRPr="003C7382" w:rsidRDefault="00EF6429" w:rsidP="00EF6429">
      <w:pPr>
        <w:rPr>
          <w:rFonts w:ascii="Arial" w:hAnsi="Arial" w:cs="Arial"/>
          <w:sz w:val="20"/>
          <w:szCs w:val="20"/>
        </w:rPr>
      </w:pPr>
      <w:r w:rsidRPr="003C7382">
        <w:rPr>
          <w:rFonts w:ascii="Arial" w:hAnsi="Arial" w:cs="Arial"/>
          <w:sz w:val="20"/>
          <w:szCs w:val="20"/>
        </w:rPr>
        <w:t>This analysis compares fixtures based on the lumen output in the 20° - 50° range to ignore the hot spot of light that may appear directly under a fixture</w:t>
      </w:r>
      <w:r w:rsidR="00457358" w:rsidRPr="003C7382">
        <w:rPr>
          <w:rFonts w:ascii="Arial" w:hAnsi="Arial" w:cs="Arial"/>
          <w:sz w:val="20"/>
          <w:szCs w:val="20"/>
        </w:rPr>
        <w:t>.</w:t>
      </w:r>
      <w:r w:rsidRPr="003C7382">
        <w:rPr>
          <w:rFonts w:ascii="Arial" w:hAnsi="Arial" w:cs="Arial"/>
          <w:sz w:val="20"/>
          <w:szCs w:val="20"/>
        </w:rPr>
        <w:t xml:space="preserve"> </w:t>
      </w:r>
      <w:r w:rsidR="00457358" w:rsidRPr="003C7382">
        <w:rPr>
          <w:rFonts w:ascii="Arial" w:hAnsi="Arial" w:cs="Arial"/>
          <w:sz w:val="20"/>
          <w:szCs w:val="20"/>
        </w:rPr>
        <w:t>C</w:t>
      </w:r>
      <w:r w:rsidRPr="003C7382">
        <w:rPr>
          <w:rFonts w:ascii="Arial" w:hAnsi="Arial" w:cs="Arial"/>
          <w:sz w:val="20"/>
          <w:szCs w:val="20"/>
        </w:rPr>
        <w:t xml:space="preserve">ustomers are often happy with the light output of LED fixtures with lower </w:t>
      </w:r>
      <w:r w:rsidR="00457358" w:rsidRPr="003C7382">
        <w:rPr>
          <w:rFonts w:ascii="Arial" w:hAnsi="Arial" w:cs="Arial"/>
          <w:sz w:val="20"/>
          <w:szCs w:val="20"/>
        </w:rPr>
        <w:t xml:space="preserve">total </w:t>
      </w:r>
      <w:r w:rsidRPr="003C7382">
        <w:rPr>
          <w:rFonts w:ascii="Arial" w:hAnsi="Arial" w:cs="Arial"/>
          <w:sz w:val="20"/>
          <w:szCs w:val="20"/>
        </w:rPr>
        <w:t xml:space="preserve">light output than the </w:t>
      </w:r>
      <w:r w:rsidRPr="003C7382" w:rsidDel="006234EB">
        <w:rPr>
          <w:rFonts w:ascii="Arial" w:hAnsi="Arial" w:cs="Arial"/>
          <w:sz w:val="20"/>
          <w:szCs w:val="20"/>
        </w:rPr>
        <w:t xml:space="preserve">Pulse Start Metal Halide HID or </w:t>
      </w:r>
      <w:r w:rsidRPr="003C7382">
        <w:rPr>
          <w:rFonts w:ascii="Arial" w:hAnsi="Arial" w:cs="Arial"/>
          <w:sz w:val="20"/>
          <w:szCs w:val="20"/>
        </w:rPr>
        <w:t>linear fluorescent fixtures replaced</w:t>
      </w:r>
      <w:r w:rsidR="00457358" w:rsidRPr="003C7382">
        <w:rPr>
          <w:rFonts w:ascii="Arial" w:hAnsi="Arial" w:cs="Arial"/>
          <w:sz w:val="20"/>
          <w:szCs w:val="20"/>
        </w:rPr>
        <w:t xml:space="preserve"> which further supports utilizing the zonal lumen method</w:t>
      </w:r>
      <w:r w:rsidRPr="003C7382">
        <w:rPr>
          <w:rFonts w:ascii="Arial" w:hAnsi="Arial" w:cs="Arial"/>
          <w:sz w:val="20"/>
          <w:szCs w:val="20"/>
        </w:rPr>
        <w:t>.</w:t>
      </w:r>
    </w:p>
    <w:p w14:paraId="2E92BDD6" w14:textId="77777777" w:rsidR="00EF6429" w:rsidRPr="003C7382" w:rsidRDefault="00EF6429" w:rsidP="00EF6429">
      <w:pPr>
        <w:rPr>
          <w:rFonts w:ascii="Arial" w:hAnsi="Arial" w:cs="Arial"/>
          <w:sz w:val="20"/>
          <w:szCs w:val="20"/>
        </w:rPr>
      </w:pPr>
    </w:p>
    <w:p w14:paraId="4E897D5A" w14:textId="186B9D93" w:rsidR="00EF6429" w:rsidRPr="003C7382" w:rsidRDefault="00EF6429" w:rsidP="00EF6429">
      <w:pPr>
        <w:rPr>
          <w:rFonts w:ascii="Arial" w:hAnsi="Arial" w:cs="Arial"/>
          <w:sz w:val="20"/>
          <w:szCs w:val="20"/>
        </w:rPr>
      </w:pPr>
      <w:r w:rsidRPr="003C7382">
        <w:rPr>
          <w:rFonts w:ascii="Arial" w:hAnsi="Arial" w:cs="Arial"/>
          <w:sz w:val="20"/>
          <w:szCs w:val="20"/>
        </w:rPr>
        <w:t xml:space="preserve">The lumens in the 20° - 50° range </w:t>
      </w:r>
      <w:r w:rsidR="006234EB" w:rsidRPr="003C7382">
        <w:rPr>
          <w:rFonts w:ascii="Arial" w:hAnsi="Arial" w:cs="Arial"/>
          <w:sz w:val="20"/>
          <w:szCs w:val="20"/>
        </w:rPr>
        <w:t xml:space="preserve">were </w:t>
      </w:r>
      <w:r w:rsidRPr="003C7382">
        <w:rPr>
          <w:rFonts w:ascii="Arial" w:hAnsi="Arial" w:cs="Arial"/>
          <w:sz w:val="20"/>
          <w:szCs w:val="20"/>
        </w:rPr>
        <w:t xml:space="preserve">calculated from the DLC QPL based on the measured light output of each fixture multiplied by the </w:t>
      </w:r>
      <w:r w:rsidR="006234EB" w:rsidRPr="003C7382">
        <w:rPr>
          <w:rFonts w:ascii="Arial" w:hAnsi="Arial" w:cs="Arial"/>
          <w:sz w:val="20"/>
          <w:szCs w:val="20"/>
        </w:rPr>
        <w:t>percent</w:t>
      </w:r>
      <w:r w:rsidRPr="003C7382">
        <w:rPr>
          <w:rFonts w:ascii="Arial" w:hAnsi="Arial" w:cs="Arial"/>
          <w:sz w:val="20"/>
          <w:szCs w:val="20"/>
        </w:rPr>
        <w:t xml:space="preserve"> of lumens in that range labeled on the DLC </w:t>
      </w:r>
      <w:r w:rsidR="006234EB" w:rsidRPr="003C7382">
        <w:rPr>
          <w:rFonts w:ascii="Arial" w:hAnsi="Arial" w:cs="Arial"/>
          <w:sz w:val="20"/>
          <w:szCs w:val="20"/>
        </w:rPr>
        <w:t xml:space="preserve">QPL </w:t>
      </w:r>
      <w:r w:rsidRPr="003C7382">
        <w:rPr>
          <w:rFonts w:ascii="Arial" w:hAnsi="Arial" w:cs="Arial"/>
          <w:sz w:val="20"/>
          <w:szCs w:val="20"/>
        </w:rPr>
        <w:t xml:space="preserve">spreadsheet at ZL-HBLB: 20-50 or ZL-HBA: 20-50. The lumen output for base case fixtures in the 20° - 50° range was calculated from the zonal lumen summary tables of manufacturer photometric reports.  These values </w:t>
      </w:r>
      <w:r w:rsidRPr="003C7382">
        <w:rPr>
          <w:rFonts w:ascii="Arial" w:hAnsi="Arial" w:cs="Arial"/>
          <w:sz w:val="20"/>
          <w:szCs w:val="20"/>
        </w:rPr>
        <w:lastRenderedPageBreak/>
        <w:t xml:space="preserve">were corrected for lamp lumens and ballast factor based on industry standards for </w:t>
      </w:r>
      <w:r w:rsidR="00457358" w:rsidRPr="003C7382">
        <w:rPr>
          <w:rFonts w:ascii="Arial" w:hAnsi="Arial" w:cs="Arial"/>
          <w:sz w:val="20"/>
          <w:szCs w:val="20"/>
        </w:rPr>
        <w:t>HPT8</w:t>
      </w:r>
      <w:r w:rsidRPr="003C7382">
        <w:rPr>
          <w:rFonts w:ascii="Arial" w:hAnsi="Arial" w:cs="Arial"/>
          <w:sz w:val="20"/>
          <w:szCs w:val="20"/>
        </w:rPr>
        <w:t xml:space="preserve"> linear fluorescent lamps.</w:t>
      </w:r>
    </w:p>
    <w:p w14:paraId="12C4A640" w14:textId="77777777" w:rsidR="00EF6429" w:rsidRDefault="00EF6429" w:rsidP="00EF6429">
      <w:pPr>
        <w:rPr>
          <w:rFonts w:ascii="Arial" w:hAnsi="Arial"/>
          <w:sz w:val="20"/>
        </w:rPr>
      </w:pPr>
    </w:p>
    <w:p w14:paraId="4D72FCC2" w14:textId="730D049B" w:rsidR="00EF6429" w:rsidRPr="009842A2" w:rsidRDefault="002245D6" w:rsidP="00EF6429">
      <w:pPr>
        <w:rPr>
          <w:rFonts w:ascii="Arial" w:hAnsi="Arial" w:cs="Arial"/>
          <w:sz w:val="20"/>
          <w:szCs w:val="20"/>
          <w:highlight w:val="yellow"/>
        </w:rPr>
      </w:pPr>
      <w:r w:rsidRPr="00A317FF">
        <w:rPr>
          <w:rFonts w:ascii="Arial" w:hAnsi="Arial"/>
          <w:sz w:val="20"/>
        </w:rPr>
        <w:t>The lumen output in the 20° - 50° range is the basis for the division of LED products into appropriate measure codes.</w:t>
      </w:r>
      <w:r>
        <w:rPr>
          <w:rFonts w:ascii="Arial" w:hAnsi="Arial"/>
          <w:sz w:val="20"/>
        </w:rPr>
        <w:t xml:space="preserve"> </w:t>
      </w:r>
      <w:r w:rsidR="00EF6429" w:rsidRPr="00C021B1">
        <w:rPr>
          <w:rFonts w:ascii="Arial" w:hAnsi="Arial" w:cs="Arial"/>
          <w:sz w:val="20"/>
          <w:szCs w:val="20"/>
        </w:rPr>
        <w:t xml:space="preserve">The LED products equivalent in lumen output in the 20° - 50° range were grouped to the base case fixtures as much as possible, given the limitation of varying LED fixture performance. The </w:t>
      </w:r>
      <w:r w:rsidR="00457358" w:rsidRPr="00C021B1">
        <w:rPr>
          <w:rFonts w:ascii="Arial" w:hAnsi="Arial" w:cs="Arial"/>
          <w:sz w:val="20"/>
          <w:szCs w:val="20"/>
        </w:rPr>
        <w:t>HPT8</w:t>
      </w:r>
      <w:r w:rsidR="00EF6429" w:rsidRPr="00C021B1">
        <w:rPr>
          <w:rFonts w:ascii="Arial" w:hAnsi="Arial" w:cs="Arial"/>
          <w:sz w:val="20"/>
          <w:szCs w:val="20"/>
        </w:rPr>
        <w:t xml:space="preserve"> linear fluorescent fixtures were compared to the group of DLC-approved </w:t>
      </w:r>
      <w:r w:rsidR="003C7382" w:rsidRPr="00C021B1">
        <w:rPr>
          <w:rFonts w:ascii="Arial" w:hAnsi="Arial" w:cs="Arial"/>
          <w:sz w:val="20"/>
          <w:szCs w:val="20"/>
        </w:rPr>
        <w:t xml:space="preserve">LED </w:t>
      </w:r>
      <w:r w:rsidR="00EF6429" w:rsidRPr="00C021B1">
        <w:rPr>
          <w:rFonts w:ascii="Arial" w:hAnsi="Arial" w:cs="Arial"/>
          <w:sz w:val="20"/>
          <w:szCs w:val="20"/>
        </w:rPr>
        <w:t xml:space="preserve">fixtures that would best replace </w:t>
      </w:r>
      <w:r w:rsidR="003C7382" w:rsidRPr="00C021B1">
        <w:rPr>
          <w:rFonts w:ascii="Arial" w:hAnsi="Arial" w:cs="Arial"/>
          <w:sz w:val="20"/>
          <w:szCs w:val="20"/>
        </w:rPr>
        <w:t>the linear fluorescent fixtures</w:t>
      </w:r>
      <w:r w:rsidR="00EF6429" w:rsidRPr="00C021B1">
        <w:rPr>
          <w:rFonts w:ascii="Arial" w:hAnsi="Arial" w:cs="Arial"/>
          <w:sz w:val="20"/>
          <w:szCs w:val="20"/>
        </w:rPr>
        <w:t xml:space="preserve"> based on photopic lumens in the 20° - 50° zones. Measure codes were created by setting </w:t>
      </w:r>
      <w:r w:rsidR="003C7382" w:rsidRPr="00C021B1">
        <w:rPr>
          <w:rFonts w:ascii="Arial" w:hAnsi="Arial" w:cs="Arial"/>
          <w:sz w:val="20"/>
          <w:szCs w:val="20"/>
        </w:rPr>
        <w:t>LED</w:t>
      </w:r>
      <w:r w:rsidR="00EF6429" w:rsidRPr="00C021B1">
        <w:rPr>
          <w:rFonts w:ascii="Arial" w:hAnsi="Arial" w:cs="Arial"/>
          <w:sz w:val="20"/>
          <w:szCs w:val="20"/>
        </w:rPr>
        <w:t xml:space="preserve"> wattage</w:t>
      </w:r>
      <w:r w:rsidR="003C7382" w:rsidRPr="00C021B1">
        <w:rPr>
          <w:rFonts w:ascii="Arial" w:hAnsi="Arial" w:cs="Arial"/>
          <w:sz w:val="20"/>
          <w:szCs w:val="20"/>
        </w:rPr>
        <w:t xml:space="preserve"> ranges from the lumen equivalence of the base case</w:t>
      </w:r>
      <w:r w:rsidR="00EF6429" w:rsidRPr="00C021B1">
        <w:rPr>
          <w:rFonts w:ascii="Arial" w:hAnsi="Arial" w:cs="Arial"/>
          <w:sz w:val="20"/>
          <w:szCs w:val="20"/>
        </w:rPr>
        <w:t xml:space="preserve"> fixture lumen output. </w:t>
      </w:r>
    </w:p>
    <w:p w14:paraId="4F576BA7" w14:textId="77777777" w:rsidR="00EF6429" w:rsidRPr="009842A2" w:rsidRDefault="00EF6429" w:rsidP="00EF6429">
      <w:pPr>
        <w:rPr>
          <w:rFonts w:ascii="Arial" w:hAnsi="Arial" w:cs="Arial"/>
          <w:sz w:val="20"/>
          <w:szCs w:val="20"/>
          <w:highlight w:val="yellow"/>
        </w:rPr>
      </w:pPr>
    </w:p>
    <w:p w14:paraId="67C9C2F4" w14:textId="20A288CF" w:rsidR="00EF6429" w:rsidRDefault="00AF654B" w:rsidP="00EF6429">
      <w:pPr>
        <w:rPr>
          <w:rFonts w:ascii="Arial" w:hAnsi="Arial" w:cs="Arial"/>
          <w:color w:val="000000" w:themeColor="text1"/>
          <w:sz w:val="20"/>
          <w:szCs w:val="20"/>
          <w:highlight w:val="yellow"/>
        </w:rPr>
      </w:pPr>
      <w:r w:rsidRPr="00C021B1">
        <w:rPr>
          <w:rFonts w:ascii="Arial" w:hAnsi="Arial" w:cs="Arial"/>
          <w:color w:val="000000" w:themeColor="text1"/>
          <w:sz w:val="20"/>
          <w:szCs w:val="20"/>
        </w:rPr>
        <w:t xml:space="preserve">The </w:t>
      </w:r>
      <w:r w:rsidR="00EF6429" w:rsidRPr="00C021B1">
        <w:rPr>
          <w:rFonts w:ascii="Arial" w:hAnsi="Arial" w:cs="Arial"/>
          <w:color w:val="000000" w:themeColor="text1"/>
          <w:sz w:val="20"/>
          <w:szCs w:val="20"/>
        </w:rPr>
        <w:t xml:space="preserve">DLC </w:t>
      </w:r>
      <w:r w:rsidRPr="00C021B1">
        <w:rPr>
          <w:rFonts w:ascii="Arial" w:hAnsi="Arial" w:cs="Arial"/>
          <w:color w:val="000000" w:themeColor="text1"/>
          <w:sz w:val="20"/>
          <w:szCs w:val="20"/>
        </w:rPr>
        <w:t>QPL was analyzed</w:t>
      </w:r>
      <w:r w:rsidR="00EF6429" w:rsidRPr="00C021B1">
        <w:rPr>
          <w:rFonts w:ascii="Arial" w:hAnsi="Arial" w:cs="Arial"/>
          <w:color w:val="000000" w:themeColor="text1"/>
          <w:sz w:val="20"/>
          <w:szCs w:val="20"/>
        </w:rPr>
        <w:t xml:space="preserve"> </w:t>
      </w:r>
      <w:r w:rsidR="00EF6429" w:rsidRPr="00C021B1">
        <w:rPr>
          <w:rFonts w:ascii="Arial" w:hAnsi="Arial" w:cs="Arial"/>
          <w:sz w:val="20"/>
          <w:szCs w:val="20"/>
        </w:rPr>
        <w:t xml:space="preserve">as of </w:t>
      </w:r>
      <w:r w:rsidR="00E73A2D" w:rsidRPr="00C021B1">
        <w:rPr>
          <w:rFonts w:ascii="Arial" w:hAnsi="Arial" w:cs="Arial"/>
          <w:sz w:val="20"/>
          <w:szCs w:val="20"/>
        </w:rPr>
        <w:t xml:space="preserve">March </w:t>
      </w:r>
      <w:r w:rsidR="00EF6429" w:rsidRPr="00C021B1">
        <w:rPr>
          <w:rFonts w:ascii="Arial" w:hAnsi="Arial" w:cs="Arial"/>
          <w:sz w:val="20"/>
          <w:szCs w:val="20"/>
        </w:rPr>
        <w:t>201</w:t>
      </w:r>
      <w:r w:rsidR="00E73A2D" w:rsidRPr="00C021B1">
        <w:rPr>
          <w:rFonts w:ascii="Arial" w:hAnsi="Arial" w:cs="Arial"/>
          <w:sz w:val="20"/>
          <w:szCs w:val="20"/>
        </w:rPr>
        <w:t>8</w:t>
      </w:r>
      <w:r w:rsidR="00EF6429" w:rsidRPr="00C021B1" w:rsidDel="00AF654B">
        <w:rPr>
          <w:rFonts w:ascii="Arial" w:hAnsi="Arial" w:cs="Arial"/>
          <w:sz w:val="20"/>
          <w:szCs w:val="20"/>
        </w:rPr>
        <w:t xml:space="preserve"> </w:t>
      </w:r>
      <w:r w:rsidR="00EF6429" w:rsidRPr="00C021B1">
        <w:rPr>
          <w:rFonts w:ascii="Arial" w:hAnsi="Arial" w:cs="Arial"/>
          <w:color w:val="000000" w:themeColor="text1"/>
          <w:sz w:val="20"/>
          <w:szCs w:val="20"/>
        </w:rPr>
        <w:t xml:space="preserve">to determine qualification of the applicable fixture population. </w:t>
      </w:r>
      <w:r w:rsidR="00E73A2D" w:rsidRPr="00C021B1">
        <w:rPr>
          <w:rFonts w:ascii="Arial" w:hAnsi="Arial" w:cs="Arial"/>
          <w:color w:val="000000" w:themeColor="text1"/>
          <w:sz w:val="20"/>
          <w:szCs w:val="20"/>
        </w:rPr>
        <w:t>47,230</w:t>
      </w:r>
      <w:r w:rsidR="00EF6429" w:rsidRPr="00C021B1">
        <w:rPr>
          <w:rFonts w:ascii="Arial" w:hAnsi="Arial" w:cs="Arial"/>
          <w:color w:val="000000" w:themeColor="text1"/>
          <w:sz w:val="20"/>
          <w:szCs w:val="20"/>
        </w:rPr>
        <w:t xml:space="preserve"> fixtures in these categories</w:t>
      </w:r>
      <w:r w:rsidR="00E73A2D" w:rsidRPr="00C021B1">
        <w:rPr>
          <w:rFonts w:ascii="Arial" w:hAnsi="Arial" w:cs="Arial"/>
          <w:color w:val="000000" w:themeColor="text1"/>
          <w:sz w:val="20"/>
          <w:szCs w:val="20"/>
        </w:rPr>
        <w:t>, 80% of the qualified products</w:t>
      </w:r>
      <w:r w:rsidR="00EF6429" w:rsidRPr="00C021B1">
        <w:rPr>
          <w:rFonts w:ascii="Arial" w:hAnsi="Arial" w:cs="Arial"/>
          <w:color w:val="000000" w:themeColor="text1"/>
          <w:sz w:val="20"/>
          <w:szCs w:val="20"/>
        </w:rPr>
        <w:t xml:space="preserve">, </w:t>
      </w:r>
      <w:r w:rsidR="00E73A2D" w:rsidRPr="00C021B1">
        <w:rPr>
          <w:rFonts w:ascii="Arial" w:hAnsi="Arial" w:cs="Arial"/>
          <w:color w:val="000000" w:themeColor="text1"/>
          <w:sz w:val="20"/>
          <w:szCs w:val="20"/>
        </w:rPr>
        <w:t xml:space="preserve">are represented in the measure code offerings. There are no measures codes in the first efficacy tier above </w:t>
      </w:r>
      <w:r w:rsidR="00C021B1" w:rsidRPr="00C021B1">
        <w:rPr>
          <w:rFonts w:ascii="Arial" w:hAnsi="Arial" w:cs="Arial"/>
          <w:color w:val="000000" w:themeColor="text1"/>
          <w:sz w:val="20"/>
          <w:szCs w:val="20"/>
        </w:rPr>
        <w:t>203 W because the base case efficacy above that wattage approaches the measure case efficacy floor thereby generating minimal energy savings. Only DLC Premium products at or above 130 LPW create substantial savings above the base case</w:t>
      </w:r>
      <w:r w:rsidR="00EF6429" w:rsidRPr="00C021B1">
        <w:rPr>
          <w:rFonts w:ascii="Arial" w:hAnsi="Arial" w:cs="Arial"/>
          <w:color w:val="000000" w:themeColor="text1"/>
          <w:sz w:val="20"/>
          <w:szCs w:val="20"/>
        </w:rPr>
        <w:t xml:space="preserve"> </w:t>
      </w:r>
      <w:r w:rsidR="00C021B1" w:rsidRPr="00C021B1">
        <w:rPr>
          <w:rFonts w:ascii="Arial" w:hAnsi="Arial" w:cs="Arial"/>
          <w:color w:val="000000" w:themeColor="text1"/>
          <w:sz w:val="20"/>
          <w:szCs w:val="20"/>
        </w:rPr>
        <w:t>in the higher wattage ranges.</w:t>
      </w:r>
    </w:p>
    <w:p w14:paraId="275D0CF5" w14:textId="6ACC0B3C" w:rsidR="003C7382" w:rsidRPr="00CD3B08" w:rsidRDefault="003C7382" w:rsidP="003C7382">
      <w:pPr>
        <w:jc w:val="both"/>
        <w:rPr>
          <w:rFonts w:ascii="Arial" w:hAnsi="Arial" w:cs="Arial"/>
          <w:sz w:val="20"/>
        </w:rPr>
      </w:pPr>
    </w:p>
    <w:p w14:paraId="15E0A704" w14:textId="77777777" w:rsidR="003C7382" w:rsidRPr="009842A2" w:rsidRDefault="003C7382" w:rsidP="00EF6429">
      <w:pPr>
        <w:rPr>
          <w:rFonts w:ascii="Arial" w:hAnsi="Arial" w:cs="Arial"/>
          <w:sz w:val="20"/>
          <w:szCs w:val="20"/>
          <w:highlight w:val="yellow"/>
        </w:rPr>
      </w:pPr>
    </w:p>
    <w:p w14:paraId="26E7A6E3" w14:textId="4391F411" w:rsidR="006E3439" w:rsidRPr="00BC69E5" w:rsidRDefault="00BC69E5" w:rsidP="00EF6429">
      <w:pPr>
        <w:rPr>
          <w:rFonts w:ascii="Arial" w:hAnsi="Arial" w:cs="Arial"/>
          <w:sz w:val="26"/>
          <w:szCs w:val="26"/>
          <w:highlight w:val="yellow"/>
        </w:rPr>
      </w:pPr>
      <w:r>
        <w:rPr>
          <w:rFonts w:ascii="Arial" w:hAnsi="Arial" w:cs="Arial"/>
          <w:b/>
          <w:sz w:val="26"/>
          <w:szCs w:val="26"/>
        </w:rPr>
        <w:t xml:space="preserve">2.2 </w:t>
      </w:r>
      <w:r w:rsidR="006E3439" w:rsidRPr="00BC69E5">
        <w:rPr>
          <w:rFonts w:ascii="Arial" w:hAnsi="Arial" w:cs="Arial"/>
          <w:b/>
          <w:sz w:val="26"/>
          <w:szCs w:val="26"/>
        </w:rPr>
        <w:t>Assumptions Used in the Calculations</w:t>
      </w:r>
    </w:p>
    <w:p w14:paraId="6A920BBA" w14:textId="0A050E61" w:rsidR="006E3439" w:rsidRPr="000049BB" w:rsidRDefault="006E3439" w:rsidP="006E3439">
      <w:pPr>
        <w:rPr>
          <w:rFonts w:ascii="Arial" w:hAnsi="Arial" w:cs="Arial"/>
          <w:b/>
          <w:sz w:val="20"/>
          <w:szCs w:val="20"/>
        </w:rPr>
      </w:pPr>
      <w:r w:rsidRPr="000049BB">
        <w:rPr>
          <w:rFonts w:ascii="Arial" w:hAnsi="Arial" w:cs="Arial"/>
          <w:b/>
          <w:sz w:val="20"/>
          <w:szCs w:val="20"/>
        </w:rPr>
        <w:t>Base Case Technology Mix</w:t>
      </w:r>
    </w:p>
    <w:p w14:paraId="4D1D3021" w14:textId="3CBFE469" w:rsidR="002B3B1A" w:rsidRDefault="00B00EC3" w:rsidP="006E3439">
      <w:pPr>
        <w:rPr>
          <w:rFonts w:ascii="Arial" w:hAnsi="Arial" w:cs="Arial"/>
          <w:sz w:val="20"/>
          <w:szCs w:val="20"/>
        </w:rPr>
      </w:pPr>
      <w:r>
        <w:rPr>
          <w:rFonts w:ascii="Arial" w:hAnsi="Arial" w:cs="Arial"/>
          <w:sz w:val="20"/>
          <w:szCs w:val="20"/>
        </w:rPr>
        <w:t xml:space="preserve">PG&amp;E </w:t>
      </w:r>
      <w:r w:rsidR="002B3B1A">
        <w:rPr>
          <w:rFonts w:ascii="Arial" w:hAnsi="Arial" w:cs="Arial"/>
          <w:sz w:val="20"/>
          <w:szCs w:val="20"/>
        </w:rPr>
        <w:t>evaluate</w:t>
      </w:r>
      <w:r>
        <w:rPr>
          <w:rFonts w:ascii="Arial" w:hAnsi="Arial" w:cs="Arial"/>
          <w:sz w:val="20"/>
          <w:szCs w:val="20"/>
        </w:rPr>
        <w:t xml:space="preserve">d past program data to </w:t>
      </w:r>
      <w:r w:rsidR="002B3B1A">
        <w:rPr>
          <w:rFonts w:ascii="Arial" w:hAnsi="Arial" w:cs="Arial"/>
          <w:sz w:val="20"/>
          <w:szCs w:val="20"/>
        </w:rPr>
        <w:t xml:space="preserve">estimate </w:t>
      </w:r>
      <w:r>
        <w:rPr>
          <w:rFonts w:ascii="Arial" w:hAnsi="Arial" w:cs="Arial"/>
          <w:sz w:val="20"/>
          <w:szCs w:val="20"/>
        </w:rPr>
        <w:t xml:space="preserve">a starting point for the base case </w:t>
      </w:r>
      <w:r w:rsidR="002B3B1A">
        <w:rPr>
          <w:rFonts w:ascii="Arial" w:hAnsi="Arial" w:cs="Arial"/>
          <w:sz w:val="20"/>
          <w:szCs w:val="20"/>
        </w:rPr>
        <w:t>technology</w:t>
      </w:r>
      <w:r>
        <w:rPr>
          <w:rFonts w:ascii="Arial" w:hAnsi="Arial" w:cs="Arial"/>
          <w:sz w:val="20"/>
          <w:szCs w:val="20"/>
        </w:rPr>
        <w:t xml:space="preserve"> mix.  </w:t>
      </w:r>
      <w:r w:rsidR="002B3B1A">
        <w:rPr>
          <w:rFonts w:ascii="Arial" w:hAnsi="Arial" w:cs="Arial"/>
          <w:sz w:val="20"/>
          <w:szCs w:val="20"/>
        </w:rPr>
        <w:t>PG&amp;E previously offered rebates for HPT8/T5 linear fluorescent highbay fixtures. The figure below shows program activity for these measures.</w:t>
      </w:r>
    </w:p>
    <w:p w14:paraId="7CC6E9B1" w14:textId="77777777" w:rsidR="002B3B1A" w:rsidRDefault="002B3B1A" w:rsidP="006E3439">
      <w:pPr>
        <w:rPr>
          <w:rFonts w:ascii="Arial" w:hAnsi="Arial" w:cs="Arial"/>
          <w:sz w:val="20"/>
          <w:szCs w:val="20"/>
        </w:rPr>
      </w:pPr>
    </w:p>
    <w:p w14:paraId="760037CA" w14:textId="77777777" w:rsidR="002B3B1A" w:rsidRDefault="002B3B1A" w:rsidP="006E3439">
      <w:pPr>
        <w:rPr>
          <w:rFonts w:ascii="Arial" w:hAnsi="Arial" w:cs="Arial"/>
          <w:sz w:val="20"/>
          <w:szCs w:val="20"/>
        </w:rPr>
      </w:pPr>
    </w:p>
    <w:p w14:paraId="63F21D8F" w14:textId="77777777" w:rsidR="00E94C25" w:rsidRDefault="002B3B1A" w:rsidP="00E94C25">
      <w:pPr>
        <w:keepNext/>
      </w:pPr>
      <w:r>
        <w:rPr>
          <w:rFonts w:ascii="Arial" w:hAnsi="Arial" w:cs="Arial"/>
          <w:noProof/>
          <w:sz w:val="20"/>
          <w:szCs w:val="20"/>
        </w:rPr>
        <w:drawing>
          <wp:inline distT="0" distB="0" distL="0" distR="0" wp14:anchorId="56028C9B" wp14:editId="5EF07C92">
            <wp:extent cx="5680715" cy="2971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77720" cy="2970233"/>
                    </a:xfrm>
                    <a:prstGeom prst="rect">
                      <a:avLst/>
                    </a:prstGeom>
                    <a:noFill/>
                  </pic:spPr>
                </pic:pic>
              </a:graphicData>
            </a:graphic>
          </wp:inline>
        </w:drawing>
      </w:r>
    </w:p>
    <w:p w14:paraId="01693068" w14:textId="7AA3FA83" w:rsidR="002B3B1A" w:rsidRDefault="00E94C25" w:rsidP="00E94C25">
      <w:pPr>
        <w:pStyle w:val="Caption"/>
        <w:rPr>
          <w:rFonts w:ascii="Arial" w:hAnsi="Arial" w:cs="Arial"/>
        </w:rPr>
      </w:pPr>
      <w:bookmarkStart w:id="127" w:name="_Toc511244933"/>
      <w:r>
        <w:t xml:space="preserve">Figure </w:t>
      </w:r>
      <w:r w:rsidR="00C426D4">
        <w:fldChar w:fldCharType="begin"/>
      </w:r>
      <w:r w:rsidR="00C426D4">
        <w:instrText xml:space="preserve"> SEQ Figure \* ARABIC </w:instrText>
      </w:r>
      <w:r w:rsidR="00C426D4">
        <w:fldChar w:fldCharType="separate"/>
      </w:r>
      <w:r>
        <w:rPr>
          <w:noProof/>
        </w:rPr>
        <w:t>4</w:t>
      </w:r>
      <w:r w:rsidR="00C426D4">
        <w:rPr>
          <w:noProof/>
        </w:rPr>
        <w:fldChar w:fldCharType="end"/>
      </w:r>
      <w:r>
        <w:t xml:space="preserve"> – HPT8/T5 Linear Fluorescent Highbay Fixture Program Data, 2013-2017</w:t>
      </w:r>
      <w:bookmarkEnd w:id="127"/>
    </w:p>
    <w:p w14:paraId="4AE7DCE8" w14:textId="77777777" w:rsidR="002B3B1A" w:rsidRDefault="002B3B1A" w:rsidP="006E3439">
      <w:pPr>
        <w:rPr>
          <w:rFonts w:ascii="Arial" w:hAnsi="Arial" w:cs="Arial"/>
          <w:sz w:val="20"/>
          <w:szCs w:val="20"/>
        </w:rPr>
      </w:pPr>
    </w:p>
    <w:p w14:paraId="766A565E" w14:textId="45E7D863" w:rsidR="002B3B1A" w:rsidRDefault="002B3B1A" w:rsidP="006E3439">
      <w:pPr>
        <w:rPr>
          <w:rFonts w:ascii="Arial" w:hAnsi="Arial" w:cs="Arial"/>
          <w:sz w:val="20"/>
          <w:szCs w:val="20"/>
        </w:rPr>
      </w:pPr>
      <w:r>
        <w:rPr>
          <w:rFonts w:ascii="Arial" w:hAnsi="Arial" w:cs="Arial"/>
          <w:sz w:val="20"/>
          <w:szCs w:val="20"/>
        </w:rPr>
        <w:t>This data makes clear that the majority of purchases in this measure offering occur in the lower wattage ranges from 0-118 watts. This implies that when customers are selecting fixtures to purchase</w:t>
      </w:r>
      <w:r w:rsidR="00E2744C">
        <w:rPr>
          <w:rFonts w:ascii="Arial" w:hAnsi="Arial" w:cs="Arial"/>
          <w:sz w:val="20"/>
          <w:szCs w:val="20"/>
        </w:rPr>
        <w:t xml:space="preserve"> in an ROB scenario</w:t>
      </w:r>
      <w:r>
        <w:rPr>
          <w:rFonts w:ascii="Arial" w:hAnsi="Arial" w:cs="Arial"/>
          <w:sz w:val="20"/>
          <w:szCs w:val="20"/>
        </w:rPr>
        <w:t xml:space="preserve">, it is more likely to be fluorescent in the lower wattage bins than higher wattage bins. This is the basis for the base case mix chosen in this revision of the workpaper – starting with higher percentage fluorescent fixtures in the lower wattage ranges and dropping that percentage of fluorescent fixtures as the wattage </w:t>
      </w:r>
      <w:r w:rsidR="00E2744C">
        <w:rPr>
          <w:rFonts w:ascii="Arial" w:hAnsi="Arial" w:cs="Arial"/>
          <w:sz w:val="20"/>
          <w:szCs w:val="20"/>
        </w:rPr>
        <w:t>increases.</w:t>
      </w:r>
    </w:p>
    <w:p w14:paraId="32D38442" w14:textId="77777777" w:rsidR="002B3B1A" w:rsidRDefault="002B3B1A" w:rsidP="006E3439">
      <w:pPr>
        <w:rPr>
          <w:rFonts w:ascii="Arial" w:hAnsi="Arial" w:cs="Arial"/>
          <w:sz w:val="20"/>
          <w:szCs w:val="20"/>
        </w:rPr>
      </w:pPr>
    </w:p>
    <w:p w14:paraId="1119B83F" w14:textId="77777777" w:rsidR="00D521A2" w:rsidRDefault="00D521A2" w:rsidP="006E3439">
      <w:pPr>
        <w:rPr>
          <w:rFonts w:ascii="Arial" w:hAnsi="Arial" w:cs="Arial"/>
          <w:sz w:val="20"/>
          <w:szCs w:val="20"/>
        </w:rPr>
      </w:pPr>
    </w:p>
    <w:p w14:paraId="21C70E1C" w14:textId="77777777" w:rsidR="00177B9F" w:rsidRDefault="00177B9F" w:rsidP="006E3439">
      <w:pPr>
        <w:rPr>
          <w:rFonts w:ascii="Arial" w:hAnsi="Arial" w:cs="Arial"/>
          <w:sz w:val="20"/>
          <w:szCs w:val="20"/>
        </w:rPr>
      </w:pPr>
    </w:p>
    <w:p w14:paraId="1C843E03" w14:textId="455B8102" w:rsidR="00B00EC3" w:rsidRDefault="00177B9F" w:rsidP="006E3439">
      <w:pPr>
        <w:rPr>
          <w:rFonts w:ascii="Arial" w:hAnsi="Arial" w:cs="Arial"/>
          <w:sz w:val="20"/>
          <w:szCs w:val="20"/>
        </w:rPr>
      </w:pPr>
      <w:r>
        <w:rPr>
          <w:rFonts w:ascii="Arial" w:hAnsi="Arial" w:cs="Arial"/>
          <w:sz w:val="20"/>
          <w:szCs w:val="20"/>
        </w:rPr>
        <w:t>Although the measure codes are not separated for lowbay and highbay</w:t>
      </w:r>
      <w:r w:rsidR="00467531">
        <w:rPr>
          <w:rFonts w:ascii="Arial" w:hAnsi="Arial" w:cs="Arial"/>
          <w:sz w:val="20"/>
          <w:szCs w:val="20"/>
        </w:rPr>
        <w:t xml:space="preserve"> applications specifically</w:t>
      </w:r>
      <w:r>
        <w:rPr>
          <w:rFonts w:ascii="Arial" w:hAnsi="Arial" w:cs="Arial"/>
          <w:sz w:val="20"/>
          <w:szCs w:val="20"/>
        </w:rPr>
        <w:t xml:space="preserve">, </w:t>
      </w:r>
      <w:r w:rsidR="00467531">
        <w:rPr>
          <w:rFonts w:ascii="Arial" w:hAnsi="Arial" w:cs="Arial"/>
          <w:sz w:val="20"/>
          <w:szCs w:val="20"/>
        </w:rPr>
        <w:t>the measures are separated by lumens/watts and lowbay applications tend to occur in the 0-10,000 lumen range (the equivalent of 2,3, and some 4 lamp linear fluorescent fixture replacements) whereas highbay applications fall into the higher lumen ranges.</w:t>
      </w:r>
      <w:r w:rsidR="00914FD8">
        <w:rPr>
          <w:rFonts w:ascii="Arial" w:hAnsi="Arial" w:cs="Arial"/>
          <w:sz w:val="20"/>
          <w:szCs w:val="20"/>
        </w:rPr>
        <w:t xml:space="preserve">  The standard practice baseline for these </w:t>
      </w:r>
      <w:r w:rsidR="00467531">
        <w:rPr>
          <w:rFonts w:ascii="Arial" w:hAnsi="Arial" w:cs="Arial"/>
          <w:sz w:val="20"/>
          <w:szCs w:val="20"/>
        </w:rPr>
        <w:t xml:space="preserve">lower wattage range </w:t>
      </w:r>
      <w:r w:rsidR="00914FD8">
        <w:rPr>
          <w:rFonts w:ascii="Arial" w:hAnsi="Arial" w:cs="Arial"/>
          <w:sz w:val="20"/>
          <w:szCs w:val="20"/>
        </w:rPr>
        <w:t xml:space="preserve">measures are 20% linear fluorescent and 80% LED.  </w:t>
      </w:r>
      <w:r w:rsidR="00467531">
        <w:rPr>
          <w:rFonts w:ascii="Arial" w:hAnsi="Arial" w:cs="Arial"/>
          <w:sz w:val="20"/>
          <w:szCs w:val="20"/>
        </w:rPr>
        <w:t>For</w:t>
      </w:r>
      <w:r w:rsidR="00914FD8">
        <w:rPr>
          <w:rFonts w:ascii="Arial" w:hAnsi="Arial" w:cs="Arial"/>
          <w:sz w:val="20"/>
          <w:szCs w:val="20"/>
        </w:rPr>
        <w:t xml:space="preserve"> the 6, 8, and 10-lamp linear fluorescent equivalent</w:t>
      </w:r>
      <w:r w:rsidR="00467531">
        <w:rPr>
          <w:rFonts w:ascii="Arial" w:hAnsi="Arial" w:cs="Arial"/>
          <w:sz w:val="20"/>
          <w:szCs w:val="20"/>
        </w:rPr>
        <w:t xml:space="preserve"> measures</w:t>
      </w:r>
      <w:r w:rsidR="00914FD8">
        <w:rPr>
          <w:rFonts w:ascii="Arial" w:hAnsi="Arial" w:cs="Arial"/>
          <w:sz w:val="20"/>
          <w:szCs w:val="20"/>
        </w:rPr>
        <w:t>, mostly high bay applications, the standard practice baseline technology mix shows 90% for LED and 10% for linear fluorescent.  Measures above the 10-lamp linear fluorescent fixture assume 100% LED standard practice baseline</w:t>
      </w:r>
      <w:r w:rsidR="00467531">
        <w:rPr>
          <w:rFonts w:ascii="Arial" w:hAnsi="Arial" w:cs="Arial"/>
          <w:sz w:val="20"/>
          <w:szCs w:val="20"/>
        </w:rPr>
        <w:t xml:space="preserve"> as linear fluorescent fixtures are not common at all at this high lumen output. Historically, metal halide fixtures were used in these applications</w:t>
      </w:r>
      <w:r w:rsidR="00914FD8">
        <w:rPr>
          <w:rFonts w:ascii="Arial" w:hAnsi="Arial" w:cs="Arial"/>
          <w:sz w:val="20"/>
          <w:szCs w:val="20"/>
        </w:rPr>
        <w:t>.</w:t>
      </w:r>
    </w:p>
    <w:p w14:paraId="71424B2C" w14:textId="77777777" w:rsidR="00177B9F" w:rsidRDefault="00177B9F" w:rsidP="006E3439">
      <w:pPr>
        <w:rPr>
          <w:rFonts w:ascii="Arial" w:hAnsi="Arial" w:cs="Arial"/>
          <w:sz w:val="20"/>
          <w:szCs w:val="20"/>
        </w:rPr>
      </w:pPr>
    </w:p>
    <w:p w14:paraId="603044CF" w14:textId="7433A520" w:rsidR="00AA0317" w:rsidRDefault="00177B9F" w:rsidP="00177B9F">
      <w:pPr>
        <w:rPr>
          <w:rFonts w:ascii="Arial" w:hAnsi="Arial" w:cs="Arial"/>
          <w:sz w:val="20"/>
          <w:szCs w:val="20"/>
        </w:rPr>
      </w:pPr>
      <w:r>
        <w:rPr>
          <w:rFonts w:ascii="Arial" w:hAnsi="Arial" w:cs="Arial"/>
          <w:sz w:val="20"/>
          <w:szCs w:val="20"/>
        </w:rPr>
        <w:t>During discussions with the Commission Staff, it was made apparent that LED linear lamps (also known as TLEDs) should be acknowledged as a major part of the standard practice baseline.  The interim workpaper still uses a fixture</w:t>
      </w:r>
      <w:r w:rsidR="001256EC">
        <w:rPr>
          <w:rFonts w:ascii="Arial" w:hAnsi="Arial" w:cs="Arial"/>
          <w:sz w:val="20"/>
          <w:szCs w:val="20"/>
        </w:rPr>
        <w:t>-</w:t>
      </w:r>
      <w:r>
        <w:rPr>
          <w:rFonts w:ascii="Arial" w:hAnsi="Arial" w:cs="Arial"/>
          <w:sz w:val="20"/>
          <w:szCs w:val="20"/>
        </w:rPr>
        <w:t xml:space="preserve"> to</w:t>
      </w:r>
      <w:r w:rsidR="001256EC">
        <w:rPr>
          <w:rFonts w:ascii="Arial" w:hAnsi="Arial" w:cs="Arial"/>
          <w:sz w:val="20"/>
          <w:szCs w:val="20"/>
        </w:rPr>
        <w:t>-</w:t>
      </w:r>
      <w:r>
        <w:rPr>
          <w:rFonts w:ascii="Arial" w:hAnsi="Arial" w:cs="Arial"/>
          <w:sz w:val="20"/>
          <w:szCs w:val="20"/>
        </w:rPr>
        <w:t xml:space="preserve">fixture replacement to incorporate the influence of LED linear lamps in the standard practice baseline, as this issue is being investigated further for the next iteration of the workpaper.  The base case technology mix used in the calculations are </w:t>
      </w:r>
      <w:r w:rsidR="00B00EC3" w:rsidRPr="00B00EC3">
        <w:rPr>
          <w:rFonts w:ascii="Arial" w:hAnsi="Arial" w:cs="Arial"/>
          <w:sz w:val="20"/>
          <w:szCs w:val="20"/>
        </w:rPr>
        <w:t xml:space="preserve">shown in </w:t>
      </w:r>
      <w:r w:rsidR="00B00EC3" w:rsidRPr="1AA8F051">
        <w:fldChar w:fldCharType="begin"/>
      </w:r>
      <w:r w:rsidR="00B00EC3" w:rsidRPr="00B00EC3">
        <w:rPr>
          <w:rFonts w:ascii="Arial" w:hAnsi="Arial" w:cs="Arial"/>
          <w:sz w:val="20"/>
          <w:szCs w:val="20"/>
        </w:rPr>
        <w:instrText xml:space="preserve"> REF _Ref510982488 \h </w:instrText>
      </w:r>
      <w:r w:rsidR="00B00EC3">
        <w:rPr>
          <w:rFonts w:ascii="Arial" w:hAnsi="Arial" w:cs="Arial"/>
          <w:sz w:val="20"/>
          <w:szCs w:val="20"/>
        </w:rPr>
        <w:instrText xml:space="preserve"> \* MERGEFORMAT </w:instrText>
      </w:r>
      <w:r w:rsidR="00B00EC3" w:rsidRPr="1AA8F051">
        <w:rPr>
          <w:rFonts w:ascii="Arial" w:hAnsi="Arial" w:cs="Arial"/>
          <w:sz w:val="20"/>
          <w:szCs w:val="20"/>
        </w:rPr>
        <w:fldChar w:fldCharType="separate"/>
      </w:r>
      <w:r w:rsidR="00B00EC3" w:rsidRPr="00B00EC3">
        <w:rPr>
          <w:rFonts w:ascii="Arial" w:hAnsi="Arial" w:cs="Arial"/>
          <w:sz w:val="20"/>
          <w:szCs w:val="20"/>
        </w:rPr>
        <w:t xml:space="preserve">Table </w:t>
      </w:r>
      <w:r w:rsidR="00B00EC3" w:rsidRPr="00B00EC3">
        <w:rPr>
          <w:rFonts w:ascii="Arial" w:hAnsi="Arial" w:cs="Arial"/>
          <w:noProof/>
          <w:sz w:val="20"/>
          <w:szCs w:val="20"/>
        </w:rPr>
        <w:t>9</w:t>
      </w:r>
      <w:r w:rsidR="00B00EC3" w:rsidRPr="00B00EC3">
        <w:rPr>
          <w:rFonts w:ascii="Arial" w:hAnsi="Arial" w:cs="Arial"/>
          <w:sz w:val="20"/>
          <w:szCs w:val="20"/>
        </w:rPr>
        <w:t xml:space="preserve"> – Base Case Technology Percentage Mix</w:t>
      </w:r>
      <w:r w:rsidR="00B00EC3" w:rsidRPr="1AA8F051">
        <w:fldChar w:fldCharType="end"/>
      </w:r>
      <w:r w:rsidR="00B00EC3" w:rsidRPr="00B00EC3">
        <w:rPr>
          <w:rFonts w:ascii="Arial" w:hAnsi="Arial" w:cs="Arial"/>
          <w:sz w:val="20"/>
          <w:szCs w:val="20"/>
        </w:rPr>
        <w:t>.</w:t>
      </w:r>
      <w:r w:rsidR="00B00EC3">
        <w:rPr>
          <w:rFonts w:ascii="Arial" w:hAnsi="Arial" w:cs="Arial"/>
          <w:sz w:val="20"/>
          <w:szCs w:val="20"/>
        </w:rPr>
        <w:t xml:space="preserve">  </w:t>
      </w:r>
    </w:p>
    <w:p w14:paraId="7CADC351" w14:textId="2324C4BD" w:rsidR="00AA0317" w:rsidRDefault="00AA0317" w:rsidP="00177B9F">
      <w:pPr>
        <w:rPr>
          <w:rFonts w:ascii="Arial" w:hAnsi="Arial" w:cs="Arial"/>
          <w:sz w:val="20"/>
          <w:szCs w:val="20"/>
        </w:rPr>
      </w:pPr>
    </w:p>
    <w:p w14:paraId="549C5868" w14:textId="7C52BDF3" w:rsidR="00AA0317" w:rsidRDefault="00AA0317" w:rsidP="00177B9F">
      <w:pPr>
        <w:rPr>
          <w:rFonts w:ascii="Arial" w:hAnsi="Arial" w:cs="Arial"/>
          <w:sz w:val="20"/>
          <w:szCs w:val="20"/>
        </w:rPr>
      </w:pPr>
      <w:r w:rsidRPr="00AA0317">
        <w:rPr>
          <w:rFonts w:ascii="Arial" w:hAnsi="Arial" w:cs="Arial"/>
          <w:b/>
          <w:sz w:val="20"/>
          <w:szCs w:val="20"/>
        </w:rPr>
        <w:t>LED Base Case Efficacy:</w:t>
      </w:r>
      <w:r>
        <w:rPr>
          <w:rFonts w:ascii="Arial" w:hAnsi="Arial" w:cs="Arial"/>
          <w:sz w:val="20"/>
          <w:szCs w:val="20"/>
        </w:rPr>
        <w:t xml:space="preserve">  The base case efficacy used was 25</w:t>
      </w:r>
      <w:r w:rsidRPr="00AA0317">
        <w:rPr>
          <w:rFonts w:ascii="Arial" w:hAnsi="Arial" w:cs="Arial"/>
          <w:sz w:val="20"/>
          <w:szCs w:val="20"/>
          <w:vertAlign w:val="superscript"/>
        </w:rPr>
        <w:t>th</w:t>
      </w:r>
      <w:r>
        <w:rPr>
          <w:rFonts w:ascii="Arial" w:hAnsi="Arial" w:cs="Arial"/>
          <w:sz w:val="20"/>
          <w:szCs w:val="20"/>
        </w:rPr>
        <w:t xml:space="preserve"> percentile Lighting</w:t>
      </w:r>
      <w:r w:rsidR="001256EC">
        <w:rPr>
          <w:rFonts w:ascii="Arial" w:hAnsi="Arial" w:cs="Arial"/>
          <w:sz w:val="20"/>
          <w:szCs w:val="20"/>
        </w:rPr>
        <w:t xml:space="preserve"> </w:t>
      </w:r>
      <w:r>
        <w:rPr>
          <w:rFonts w:ascii="Arial" w:hAnsi="Arial" w:cs="Arial"/>
          <w:sz w:val="20"/>
          <w:szCs w:val="20"/>
        </w:rPr>
        <w:t>Facts for industrial luminaires.  This is a similar approach taken in the workpaper PGECOLTG151 Outdoor and Street Lighting.  This assumption is based on what customers would buy in the absence of utility programs.</w:t>
      </w:r>
    </w:p>
    <w:p w14:paraId="223BBD12" w14:textId="6EDC4575" w:rsidR="004306C2" w:rsidRDefault="004306C2" w:rsidP="00177B9F">
      <w:pPr>
        <w:rPr>
          <w:rFonts w:ascii="Arial" w:hAnsi="Arial" w:cs="Arial"/>
          <w:sz w:val="20"/>
          <w:szCs w:val="20"/>
        </w:rPr>
      </w:pPr>
    </w:p>
    <w:p w14:paraId="72D5F412" w14:textId="125F9678" w:rsidR="00E94C25" w:rsidRDefault="00E94C25" w:rsidP="00E94C25">
      <w:pPr>
        <w:pStyle w:val="Caption"/>
        <w:keepNext/>
        <w:jc w:val="center"/>
      </w:pPr>
      <w:bookmarkStart w:id="128" w:name="_Toc511244276"/>
      <w:bookmarkStart w:id="129" w:name="_Toc511244301"/>
      <w:bookmarkStart w:id="130" w:name="_Toc511244920"/>
      <w:r>
        <w:t xml:space="preserve">Table </w:t>
      </w:r>
      <w:r w:rsidR="00C426D4">
        <w:fldChar w:fldCharType="begin"/>
      </w:r>
      <w:r w:rsidR="00C426D4">
        <w:instrText xml:space="preserve"> SEQ Table \* ARABIC </w:instrText>
      </w:r>
      <w:r w:rsidR="00C426D4">
        <w:fldChar w:fldCharType="separate"/>
      </w:r>
      <w:r>
        <w:rPr>
          <w:noProof/>
        </w:rPr>
        <w:t>11</w:t>
      </w:r>
      <w:r w:rsidR="00C426D4">
        <w:rPr>
          <w:noProof/>
        </w:rPr>
        <w:fldChar w:fldCharType="end"/>
      </w:r>
      <w:r>
        <w:t xml:space="preserve"> – Industrial Products Efficacy Percentiles from Lighting Facts</w:t>
      </w:r>
      <w:bookmarkEnd w:id="128"/>
      <w:bookmarkEnd w:id="129"/>
      <w:bookmarkEnd w:id="130"/>
    </w:p>
    <w:tbl>
      <w:tblPr>
        <w:tblW w:w="5000" w:type="pct"/>
        <w:tblLook w:val="04A0" w:firstRow="1" w:lastRow="0" w:firstColumn="1" w:lastColumn="0" w:noHBand="0" w:noVBand="1"/>
      </w:tblPr>
      <w:tblGrid>
        <w:gridCol w:w="1916"/>
        <w:gridCol w:w="1915"/>
        <w:gridCol w:w="1915"/>
        <w:gridCol w:w="1915"/>
        <w:gridCol w:w="1915"/>
      </w:tblGrid>
      <w:tr w:rsidR="00E94C25" w:rsidRPr="00E94C25" w14:paraId="104A4A5E" w14:textId="77777777" w:rsidTr="00E94C25">
        <w:trPr>
          <w:trHeight w:val="20"/>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9F3B8A" w14:textId="77777777" w:rsidR="00E94C25" w:rsidRDefault="00E94C25" w:rsidP="00E94C25">
            <w:pPr>
              <w:jc w:val="center"/>
              <w:rPr>
                <w:rFonts w:ascii="Calibri" w:hAnsi="Calibri"/>
                <w:b/>
                <w:bCs/>
                <w:sz w:val="22"/>
                <w:szCs w:val="22"/>
              </w:rPr>
            </w:pPr>
            <w:r>
              <w:rPr>
                <w:rFonts w:ascii="Calibri" w:hAnsi="Calibri"/>
                <w:b/>
                <w:bCs/>
                <w:sz w:val="22"/>
                <w:szCs w:val="22"/>
              </w:rPr>
              <w:t>Base Case</w:t>
            </w:r>
          </w:p>
          <w:p w14:paraId="42AF8FA5" w14:textId="768B56B2" w:rsidR="00E94C25" w:rsidRPr="00E94C25" w:rsidRDefault="00E94C25" w:rsidP="00E94C25">
            <w:pPr>
              <w:jc w:val="center"/>
              <w:rPr>
                <w:rFonts w:ascii="Calibri" w:hAnsi="Calibri"/>
                <w:b/>
                <w:bCs/>
                <w:sz w:val="22"/>
                <w:szCs w:val="22"/>
              </w:rPr>
            </w:pPr>
            <w:r w:rsidRPr="00E94C25">
              <w:rPr>
                <w:rFonts w:ascii="Calibri" w:hAnsi="Calibri"/>
                <w:b/>
                <w:bCs/>
                <w:sz w:val="22"/>
                <w:szCs w:val="22"/>
              </w:rPr>
              <w:t xml:space="preserve">25 %ile </w:t>
            </w:r>
            <w:r>
              <w:rPr>
                <w:rFonts w:ascii="Calibri" w:hAnsi="Calibri"/>
                <w:b/>
                <w:bCs/>
                <w:sz w:val="22"/>
                <w:szCs w:val="22"/>
              </w:rPr>
              <w:t>efficacy</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14:paraId="46678FEF" w14:textId="77777777" w:rsidR="00E94C25" w:rsidRDefault="00E94C25" w:rsidP="00E94C25">
            <w:pPr>
              <w:jc w:val="center"/>
              <w:rPr>
                <w:rFonts w:ascii="Calibri" w:hAnsi="Calibri"/>
                <w:b/>
                <w:bCs/>
                <w:sz w:val="22"/>
                <w:szCs w:val="22"/>
              </w:rPr>
            </w:pPr>
            <w:r>
              <w:rPr>
                <w:rFonts w:ascii="Calibri" w:hAnsi="Calibri"/>
                <w:b/>
                <w:bCs/>
                <w:sz w:val="22"/>
                <w:szCs w:val="22"/>
              </w:rPr>
              <w:t xml:space="preserve">Tier 1 Floor </w:t>
            </w:r>
          </w:p>
          <w:p w14:paraId="64268FFF" w14:textId="72FF4784" w:rsidR="00E94C25" w:rsidRPr="00E94C25" w:rsidRDefault="00E94C25" w:rsidP="00E94C25">
            <w:pPr>
              <w:jc w:val="center"/>
              <w:rPr>
                <w:rFonts w:ascii="Calibri" w:hAnsi="Calibri"/>
                <w:b/>
                <w:bCs/>
                <w:sz w:val="22"/>
                <w:szCs w:val="22"/>
              </w:rPr>
            </w:pPr>
            <w:r w:rsidRPr="00E94C25">
              <w:rPr>
                <w:rFonts w:ascii="Calibri" w:hAnsi="Calibri"/>
                <w:b/>
                <w:bCs/>
                <w:sz w:val="22"/>
                <w:szCs w:val="22"/>
              </w:rPr>
              <w:t>50 %ile efficacy</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14:paraId="7B5000FB" w14:textId="77777777" w:rsidR="004674CA" w:rsidRDefault="004674CA" w:rsidP="00E94C25">
            <w:pPr>
              <w:jc w:val="center"/>
              <w:rPr>
                <w:rFonts w:ascii="Calibri" w:hAnsi="Calibri"/>
                <w:b/>
                <w:bCs/>
                <w:sz w:val="22"/>
                <w:szCs w:val="22"/>
              </w:rPr>
            </w:pPr>
            <w:r>
              <w:rPr>
                <w:rFonts w:ascii="Calibri" w:hAnsi="Calibri"/>
                <w:b/>
                <w:bCs/>
                <w:sz w:val="22"/>
                <w:szCs w:val="22"/>
              </w:rPr>
              <w:t>Tier 1 Meas Case</w:t>
            </w:r>
          </w:p>
          <w:p w14:paraId="366F086C" w14:textId="4A10A328" w:rsidR="00E94C25" w:rsidRPr="00E94C25" w:rsidRDefault="00E94C25" w:rsidP="00E94C25">
            <w:pPr>
              <w:jc w:val="center"/>
              <w:rPr>
                <w:rFonts w:ascii="Calibri" w:hAnsi="Calibri"/>
                <w:b/>
                <w:bCs/>
                <w:sz w:val="22"/>
                <w:szCs w:val="22"/>
              </w:rPr>
            </w:pPr>
            <w:r w:rsidRPr="00E94C25">
              <w:rPr>
                <w:rFonts w:ascii="Calibri" w:hAnsi="Calibri"/>
                <w:b/>
                <w:bCs/>
                <w:sz w:val="22"/>
                <w:szCs w:val="22"/>
              </w:rPr>
              <w:t>62.5 %ile</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14:paraId="57FB8C5F" w14:textId="77777777" w:rsidR="004674CA" w:rsidRDefault="004674CA" w:rsidP="00E94C25">
            <w:pPr>
              <w:jc w:val="center"/>
              <w:rPr>
                <w:rFonts w:ascii="Calibri" w:hAnsi="Calibri"/>
                <w:b/>
                <w:bCs/>
                <w:sz w:val="22"/>
                <w:szCs w:val="22"/>
              </w:rPr>
            </w:pPr>
            <w:r>
              <w:rPr>
                <w:rFonts w:ascii="Calibri" w:hAnsi="Calibri"/>
                <w:b/>
                <w:bCs/>
                <w:sz w:val="22"/>
                <w:szCs w:val="22"/>
              </w:rPr>
              <w:t>Tier 2 Floor</w:t>
            </w:r>
          </w:p>
          <w:p w14:paraId="5CA2E875" w14:textId="1B4F9B0A" w:rsidR="00E94C25" w:rsidRPr="00E94C25" w:rsidRDefault="00E94C25" w:rsidP="00E94C25">
            <w:pPr>
              <w:jc w:val="center"/>
              <w:rPr>
                <w:rFonts w:ascii="Calibri" w:hAnsi="Calibri"/>
                <w:b/>
                <w:bCs/>
                <w:sz w:val="22"/>
                <w:szCs w:val="22"/>
              </w:rPr>
            </w:pPr>
            <w:r w:rsidRPr="00E94C25">
              <w:rPr>
                <w:rFonts w:ascii="Calibri" w:hAnsi="Calibri"/>
                <w:b/>
                <w:bCs/>
                <w:sz w:val="22"/>
                <w:szCs w:val="22"/>
              </w:rPr>
              <w:t>75 %ile efficacy</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14:paraId="58A17A79" w14:textId="77777777" w:rsidR="004674CA" w:rsidRDefault="004674CA" w:rsidP="00E94C25">
            <w:pPr>
              <w:jc w:val="center"/>
              <w:rPr>
                <w:rFonts w:ascii="Calibri" w:hAnsi="Calibri"/>
                <w:b/>
                <w:bCs/>
                <w:sz w:val="22"/>
                <w:szCs w:val="22"/>
              </w:rPr>
            </w:pPr>
            <w:r>
              <w:rPr>
                <w:rFonts w:ascii="Calibri" w:hAnsi="Calibri"/>
                <w:b/>
                <w:bCs/>
                <w:sz w:val="22"/>
                <w:szCs w:val="22"/>
              </w:rPr>
              <w:t>Tier 2 Meas Case</w:t>
            </w:r>
          </w:p>
          <w:p w14:paraId="70BCA672" w14:textId="6AE119A3" w:rsidR="00E94C25" w:rsidRPr="00E94C25" w:rsidRDefault="00E94C25" w:rsidP="00E94C25">
            <w:pPr>
              <w:jc w:val="center"/>
              <w:rPr>
                <w:rFonts w:ascii="Calibri" w:hAnsi="Calibri"/>
                <w:b/>
                <w:bCs/>
                <w:sz w:val="22"/>
                <w:szCs w:val="22"/>
              </w:rPr>
            </w:pPr>
            <w:r w:rsidRPr="00E94C25">
              <w:rPr>
                <w:rFonts w:ascii="Calibri" w:hAnsi="Calibri"/>
                <w:b/>
                <w:bCs/>
                <w:sz w:val="22"/>
                <w:szCs w:val="22"/>
              </w:rPr>
              <w:t>87.5 %ile</w:t>
            </w:r>
          </w:p>
        </w:tc>
      </w:tr>
      <w:tr w:rsidR="00E94C25" w:rsidRPr="00E94C25" w14:paraId="6798B46F"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0D13C1CE" w14:textId="77777777" w:rsidR="00E94C25" w:rsidRPr="00E94C25" w:rsidRDefault="00E94C25" w:rsidP="00E94C25">
            <w:pPr>
              <w:jc w:val="center"/>
              <w:rPr>
                <w:rFonts w:ascii="Calibri" w:hAnsi="Calibri"/>
                <w:sz w:val="22"/>
                <w:szCs w:val="22"/>
              </w:rPr>
            </w:pPr>
            <w:r w:rsidRPr="00E94C25">
              <w:rPr>
                <w:rFonts w:ascii="Calibri" w:hAnsi="Calibri"/>
                <w:sz w:val="22"/>
                <w:szCs w:val="22"/>
              </w:rPr>
              <w:t>0.25</w:t>
            </w:r>
          </w:p>
        </w:tc>
        <w:tc>
          <w:tcPr>
            <w:tcW w:w="1000" w:type="pct"/>
            <w:tcBorders>
              <w:top w:val="nil"/>
              <w:left w:val="nil"/>
              <w:bottom w:val="single" w:sz="4" w:space="0" w:color="auto"/>
              <w:right w:val="single" w:sz="4" w:space="0" w:color="auto"/>
            </w:tcBorders>
            <w:shd w:val="clear" w:color="auto" w:fill="auto"/>
            <w:noWrap/>
            <w:vAlign w:val="center"/>
            <w:hideMark/>
          </w:tcPr>
          <w:p w14:paraId="49FEC484" w14:textId="77777777" w:rsidR="00E94C25" w:rsidRPr="00E94C25" w:rsidRDefault="00E94C25" w:rsidP="00E94C25">
            <w:pPr>
              <w:jc w:val="center"/>
              <w:rPr>
                <w:rFonts w:ascii="Calibri" w:hAnsi="Calibri"/>
                <w:sz w:val="22"/>
                <w:szCs w:val="22"/>
              </w:rPr>
            </w:pPr>
            <w:r w:rsidRPr="00E94C25">
              <w:rPr>
                <w:rFonts w:ascii="Calibri" w:hAnsi="Calibri"/>
                <w:sz w:val="22"/>
                <w:szCs w:val="22"/>
              </w:rPr>
              <w:t>0.5</w:t>
            </w:r>
          </w:p>
        </w:tc>
        <w:tc>
          <w:tcPr>
            <w:tcW w:w="1000" w:type="pct"/>
            <w:tcBorders>
              <w:top w:val="nil"/>
              <w:left w:val="nil"/>
              <w:bottom w:val="single" w:sz="4" w:space="0" w:color="auto"/>
              <w:right w:val="single" w:sz="4" w:space="0" w:color="auto"/>
            </w:tcBorders>
            <w:shd w:val="clear" w:color="auto" w:fill="auto"/>
            <w:noWrap/>
            <w:vAlign w:val="center"/>
            <w:hideMark/>
          </w:tcPr>
          <w:p w14:paraId="4DC5DD22" w14:textId="77777777" w:rsidR="00E94C25" w:rsidRPr="00E94C25" w:rsidRDefault="00E94C25" w:rsidP="00E94C25">
            <w:pPr>
              <w:jc w:val="center"/>
              <w:rPr>
                <w:rFonts w:ascii="Calibri" w:hAnsi="Calibri"/>
                <w:sz w:val="22"/>
                <w:szCs w:val="22"/>
              </w:rPr>
            </w:pPr>
            <w:r w:rsidRPr="00E94C25">
              <w:rPr>
                <w:rFonts w:ascii="Calibri" w:hAnsi="Calibri"/>
                <w:sz w:val="22"/>
                <w:szCs w:val="22"/>
              </w:rPr>
              <w:t>0.625</w:t>
            </w:r>
          </w:p>
        </w:tc>
        <w:tc>
          <w:tcPr>
            <w:tcW w:w="1000" w:type="pct"/>
            <w:tcBorders>
              <w:top w:val="nil"/>
              <w:left w:val="nil"/>
              <w:bottom w:val="single" w:sz="4" w:space="0" w:color="auto"/>
              <w:right w:val="single" w:sz="4" w:space="0" w:color="auto"/>
            </w:tcBorders>
            <w:shd w:val="clear" w:color="auto" w:fill="auto"/>
            <w:noWrap/>
            <w:vAlign w:val="center"/>
            <w:hideMark/>
          </w:tcPr>
          <w:p w14:paraId="3AC151BF" w14:textId="77777777" w:rsidR="00E94C25" w:rsidRPr="00E94C25" w:rsidRDefault="00E94C25" w:rsidP="00E94C25">
            <w:pPr>
              <w:jc w:val="center"/>
              <w:rPr>
                <w:rFonts w:ascii="Calibri" w:hAnsi="Calibri"/>
                <w:sz w:val="22"/>
                <w:szCs w:val="22"/>
              </w:rPr>
            </w:pPr>
            <w:r w:rsidRPr="00E94C25">
              <w:rPr>
                <w:rFonts w:ascii="Calibri" w:hAnsi="Calibri"/>
                <w:sz w:val="22"/>
                <w:szCs w:val="22"/>
              </w:rPr>
              <w:t>0.75</w:t>
            </w:r>
          </w:p>
        </w:tc>
        <w:tc>
          <w:tcPr>
            <w:tcW w:w="1000" w:type="pct"/>
            <w:tcBorders>
              <w:top w:val="nil"/>
              <w:left w:val="nil"/>
              <w:bottom w:val="single" w:sz="4" w:space="0" w:color="auto"/>
              <w:right w:val="single" w:sz="4" w:space="0" w:color="auto"/>
            </w:tcBorders>
            <w:shd w:val="clear" w:color="auto" w:fill="auto"/>
            <w:noWrap/>
            <w:vAlign w:val="center"/>
            <w:hideMark/>
          </w:tcPr>
          <w:p w14:paraId="2569D18C" w14:textId="77777777" w:rsidR="00E94C25" w:rsidRPr="00E94C25" w:rsidRDefault="00E94C25" w:rsidP="00E94C25">
            <w:pPr>
              <w:jc w:val="center"/>
              <w:rPr>
                <w:rFonts w:ascii="Calibri" w:hAnsi="Calibri"/>
                <w:sz w:val="22"/>
                <w:szCs w:val="22"/>
              </w:rPr>
            </w:pPr>
            <w:r w:rsidRPr="00E94C25">
              <w:rPr>
                <w:rFonts w:ascii="Calibri" w:hAnsi="Calibri"/>
                <w:sz w:val="22"/>
                <w:szCs w:val="22"/>
              </w:rPr>
              <w:t>0.875</w:t>
            </w:r>
          </w:p>
        </w:tc>
      </w:tr>
      <w:tr w:rsidR="00E94C25" w:rsidRPr="00E94C25" w14:paraId="13CB4735"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684EF896" w14:textId="77777777" w:rsidR="00E94C25" w:rsidRPr="00E94C25" w:rsidRDefault="00E94C25" w:rsidP="00E94C25">
            <w:pPr>
              <w:jc w:val="center"/>
              <w:rPr>
                <w:rFonts w:ascii="Calibri" w:hAnsi="Calibri"/>
                <w:sz w:val="22"/>
                <w:szCs w:val="22"/>
              </w:rPr>
            </w:pPr>
            <w:r w:rsidRPr="00E94C25">
              <w:rPr>
                <w:rFonts w:ascii="Calibri" w:hAnsi="Calibri"/>
                <w:sz w:val="22"/>
                <w:szCs w:val="22"/>
              </w:rPr>
              <w:t>95.3</w:t>
            </w:r>
          </w:p>
        </w:tc>
        <w:tc>
          <w:tcPr>
            <w:tcW w:w="1000" w:type="pct"/>
            <w:tcBorders>
              <w:top w:val="nil"/>
              <w:left w:val="nil"/>
              <w:bottom w:val="single" w:sz="4" w:space="0" w:color="auto"/>
              <w:right w:val="single" w:sz="4" w:space="0" w:color="auto"/>
            </w:tcBorders>
            <w:shd w:val="clear" w:color="auto" w:fill="auto"/>
            <w:noWrap/>
            <w:vAlign w:val="center"/>
            <w:hideMark/>
          </w:tcPr>
          <w:p w14:paraId="38A392C5" w14:textId="77777777" w:rsidR="00E94C25" w:rsidRPr="00E94C25" w:rsidRDefault="00E94C25" w:rsidP="00E94C25">
            <w:pPr>
              <w:jc w:val="center"/>
              <w:rPr>
                <w:rFonts w:ascii="Calibri" w:hAnsi="Calibri"/>
                <w:sz w:val="22"/>
                <w:szCs w:val="22"/>
              </w:rPr>
            </w:pPr>
            <w:r w:rsidRPr="00E94C25">
              <w:rPr>
                <w:rFonts w:ascii="Calibri" w:hAnsi="Calibri"/>
                <w:sz w:val="22"/>
                <w:szCs w:val="22"/>
              </w:rPr>
              <w:t>107.5</w:t>
            </w:r>
          </w:p>
        </w:tc>
        <w:tc>
          <w:tcPr>
            <w:tcW w:w="1000" w:type="pct"/>
            <w:tcBorders>
              <w:top w:val="nil"/>
              <w:left w:val="nil"/>
              <w:bottom w:val="single" w:sz="4" w:space="0" w:color="auto"/>
              <w:right w:val="single" w:sz="4" w:space="0" w:color="auto"/>
            </w:tcBorders>
            <w:shd w:val="clear" w:color="auto" w:fill="auto"/>
            <w:noWrap/>
            <w:vAlign w:val="center"/>
            <w:hideMark/>
          </w:tcPr>
          <w:p w14:paraId="76426834" w14:textId="77777777" w:rsidR="00E94C25" w:rsidRPr="00E94C25" w:rsidRDefault="00E94C25" w:rsidP="00E94C25">
            <w:pPr>
              <w:jc w:val="center"/>
              <w:rPr>
                <w:rFonts w:ascii="Calibri" w:hAnsi="Calibri"/>
                <w:sz w:val="22"/>
                <w:szCs w:val="22"/>
              </w:rPr>
            </w:pPr>
            <w:r w:rsidRPr="00E94C25">
              <w:rPr>
                <w:rFonts w:ascii="Calibri" w:hAnsi="Calibri"/>
                <w:sz w:val="22"/>
                <w:szCs w:val="22"/>
              </w:rPr>
              <w:t>116.3</w:t>
            </w:r>
          </w:p>
        </w:tc>
        <w:tc>
          <w:tcPr>
            <w:tcW w:w="1000" w:type="pct"/>
            <w:tcBorders>
              <w:top w:val="nil"/>
              <w:left w:val="nil"/>
              <w:bottom w:val="single" w:sz="4" w:space="0" w:color="auto"/>
              <w:right w:val="single" w:sz="4" w:space="0" w:color="auto"/>
            </w:tcBorders>
            <w:shd w:val="clear" w:color="auto" w:fill="auto"/>
            <w:noWrap/>
            <w:vAlign w:val="center"/>
            <w:hideMark/>
          </w:tcPr>
          <w:p w14:paraId="6CA48E85" w14:textId="77777777" w:rsidR="00E94C25" w:rsidRPr="00E94C25" w:rsidRDefault="00E94C25" w:rsidP="00E94C25">
            <w:pPr>
              <w:jc w:val="center"/>
              <w:rPr>
                <w:rFonts w:ascii="Calibri" w:hAnsi="Calibri"/>
                <w:sz w:val="22"/>
                <w:szCs w:val="22"/>
              </w:rPr>
            </w:pPr>
            <w:r w:rsidRPr="00E94C25">
              <w:rPr>
                <w:rFonts w:ascii="Calibri" w:hAnsi="Calibri"/>
                <w:sz w:val="22"/>
                <w:szCs w:val="22"/>
              </w:rPr>
              <w:t>127.2</w:t>
            </w:r>
          </w:p>
        </w:tc>
        <w:tc>
          <w:tcPr>
            <w:tcW w:w="1000" w:type="pct"/>
            <w:tcBorders>
              <w:top w:val="nil"/>
              <w:left w:val="nil"/>
              <w:bottom w:val="single" w:sz="4" w:space="0" w:color="auto"/>
              <w:right w:val="single" w:sz="4" w:space="0" w:color="auto"/>
            </w:tcBorders>
            <w:shd w:val="clear" w:color="auto" w:fill="auto"/>
            <w:noWrap/>
            <w:vAlign w:val="center"/>
            <w:hideMark/>
          </w:tcPr>
          <w:p w14:paraId="7FFC796D" w14:textId="77777777" w:rsidR="00E94C25" w:rsidRPr="00E94C25" w:rsidRDefault="00E94C25" w:rsidP="00E94C25">
            <w:pPr>
              <w:jc w:val="center"/>
              <w:rPr>
                <w:rFonts w:ascii="Calibri" w:hAnsi="Calibri"/>
                <w:sz w:val="22"/>
                <w:szCs w:val="22"/>
              </w:rPr>
            </w:pPr>
            <w:r w:rsidRPr="00E94C25">
              <w:rPr>
                <w:rFonts w:ascii="Calibri" w:hAnsi="Calibri"/>
                <w:sz w:val="22"/>
                <w:szCs w:val="22"/>
              </w:rPr>
              <w:t>134.4</w:t>
            </w:r>
          </w:p>
        </w:tc>
      </w:tr>
      <w:tr w:rsidR="00E94C25" w:rsidRPr="00E94C25" w14:paraId="3B0FC22A"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7877726D" w14:textId="77777777" w:rsidR="00E94C25" w:rsidRPr="00E94C25" w:rsidRDefault="00E94C25" w:rsidP="00E94C25">
            <w:pPr>
              <w:jc w:val="center"/>
              <w:rPr>
                <w:rFonts w:ascii="Calibri" w:hAnsi="Calibri"/>
                <w:sz w:val="22"/>
                <w:szCs w:val="22"/>
              </w:rPr>
            </w:pPr>
            <w:r w:rsidRPr="00E94C25">
              <w:rPr>
                <w:rFonts w:ascii="Calibri" w:hAnsi="Calibri"/>
                <w:sz w:val="22"/>
                <w:szCs w:val="22"/>
              </w:rPr>
              <w:t>99.2</w:t>
            </w:r>
          </w:p>
        </w:tc>
        <w:tc>
          <w:tcPr>
            <w:tcW w:w="1000" w:type="pct"/>
            <w:tcBorders>
              <w:top w:val="nil"/>
              <w:left w:val="nil"/>
              <w:bottom w:val="single" w:sz="4" w:space="0" w:color="auto"/>
              <w:right w:val="single" w:sz="4" w:space="0" w:color="auto"/>
            </w:tcBorders>
            <w:shd w:val="clear" w:color="auto" w:fill="auto"/>
            <w:noWrap/>
            <w:vAlign w:val="center"/>
            <w:hideMark/>
          </w:tcPr>
          <w:p w14:paraId="196DA5F4" w14:textId="77777777" w:rsidR="00E94C25" w:rsidRPr="00E94C25" w:rsidRDefault="00E94C25" w:rsidP="00E94C25">
            <w:pPr>
              <w:jc w:val="center"/>
              <w:rPr>
                <w:rFonts w:ascii="Calibri" w:hAnsi="Calibri"/>
                <w:sz w:val="22"/>
                <w:szCs w:val="22"/>
              </w:rPr>
            </w:pPr>
            <w:r w:rsidRPr="00E94C25">
              <w:rPr>
                <w:rFonts w:ascii="Calibri" w:hAnsi="Calibri"/>
                <w:sz w:val="22"/>
                <w:szCs w:val="22"/>
              </w:rPr>
              <w:t>110.6</w:t>
            </w:r>
          </w:p>
        </w:tc>
        <w:tc>
          <w:tcPr>
            <w:tcW w:w="1000" w:type="pct"/>
            <w:tcBorders>
              <w:top w:val="nil"/>
              <w:left w:val="nil"/>
              <w:bottom w:val="single" w:sz="4" w:space="0" w:color="auto"/>
              <w:right w:val="single" w:sz="4" w:space="0" w:color="auto"/>
            </w:tcBorders>
            <w:shd w:val="clear" w:color="auto" w:fill="auto"/>
            <w:noWrap/>
            <w:vAlign w:val="center"/>
            <w:hideMark/>
          </w:tcPr>
          <w:p w14:paraId="1E8439EA" w14:textId="77777777" w:rsidR="00E94C25" w:rsidRPr="00E94C25" w:rsidRDefault="00E94C25" w:rsidP="00E94C25">
            <w:pPr>
              <w:jc w:val="center"/>
              <w:rPr>
                <w:rFonts w:ascii="Calibri" w:hAnsi="Calibri"/>
                <w:sz w:val="22"/>
                <w:szCs w:val="22"/>
              </w:rPr>
            </w:pPr>
            <w:r w:rsidRPr="00E94C25">
              <w:rPr>
                <w:rFonts w:ascii="Calibri" w:hAnsi="Calibri"/>
                <w:sz w:val="22"/>
                <w:szCs w:val="22"/>
              </w:rPr>
              <w:t>121.5</w:t>
            </w:r>
          </w:p>
        </w:tc>
        <w:tc>
          <w:tcPr>
            <w:tcW w:w="1000" w:type="pct"/>
            <w:tcBorders>
              <w:top w:val="nil"/>
              <w:left w:val="nil"/>
              <w:bottom w:val="single" w:sz="4" w:space="0" w:color="auto"/>
              <w:right w:val="single" w:sz="4" w:space="0" w:color="auto"/>
            </w:tcBorders>
            <w:shd w:val="clear" w:color="auto" w:fill="auto"/>
            <w:noWrap/>
            <w:vAlign w:val="center"/>
            <w:hideMark/>
          </w:tcPr>
          <w:p w14:paraId="51AE894B" w14:textId="77777777" w:rsidR="00E94C25" w:rsidRPr="00E94C25" w:rsidRDefault="00E94C25" w:rsidP="00E94C25">
            <w:pPr>
              <w:jc w:val="center"/>
              <w:rPr>
                <w:rFonts w:ascii="Calibri" w:hAnsi="Calibri"/>
                <w:sz w:val="22"/>
                <w:szCs w:val="22"/>
              </w:rPr>
            </w:pPr>
            <w:r w:rsidRPr="00E94C25">
              <w:rPr>
                <w:rFonts w:ascii="Calibri" w:hAnsi="Calibri"/>
                <w:sz w:val="22"/>
                <w:szCs w:val="22"/>
              </w:rPr>
              <w:t>129.4</w:t>
            </w:r>
          </w:p>
        </w:tc>
        <w:tc>
          <w:tcPr>
            <w:tcW w:w="1000" w:type="pct"/>
            <w:tcBorders>
              <w:top w:val="nil"/>
              <w:left w:val="nil"/>
              <w:bottom w:val="single" w:sz="4" w:space="0" w:color="auto"/>
              <w:right w:val="single" w:sz="4" w:space="0" w:color="auto"/>
            </w:tcBorders>
            <w:shd w:val="clear" w:color="auto" w:fill="auto"/>
            <w:noWrap/>
            <w:vAlign w:val="center"/>
            <w:hideMark/>
          </w:tcPr>
          <w:p w14:paraId="2FD5E06F" w14:textId="77777777" w:rsidR="00E94C25" w:rsidRPr="00E94C25" w:rsidRDefault="00E94C25" w:rsidP="00E94C25">
            <w:pPr>
              <w:jc w:val="center"/>
              <w:rPr>
                <w:rFonts w:ascii="Calibri" w:hAnsi="Calibri"/>
                <w:sz w:val="22"/>
                <w:szCs w:val="22"/>
              </w:rPr>
            </w:pPr>
            <w:r w:rsidRPr="00E94C25">
              <w:rPr>
                <w:rFonts w:ascii="Calibri" w:hAnsi="Calibri"/>
                <w:sz w:val="22"/>
                <w:szCs w:val="22"/>
              </w:rPr>
              <w:t>137.8</w:t>
            </w:r>
          </w:p>
        </w:tc>
      </w:tr>
      <w:tr w:rsidR="00E94C25" w:rsidRPr="00E94C25" w14:paraId="57F332C0"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669895CE" w14:textId="77777777" w:rsidR="00E94C25" w:rsidRPr="00E94C25" w:rsidRDefault="00E94C25" w:rsidP="00E94C25">
            <w:pPr>
              <w:jc w:val="center"/>
              <w:rPr>
                <w:rFonts w:ascii="Calibri" w:hAnsi="Calibri"/>
                <w:sz w:val="22"/>
                <w:szCs w:val="22"/>
              </w:rPr>
            </w:pPr>
            <w:r w:rsidRPr="00E94C25">
              <w:rPr>
                <w:rFonts w:ascii="Calibri" w:hAnsi="Calibri"/>
                <w:sz w:val="22"/>
                <w:szCs w:val="22"/>
              </w:rPr>
              <w:t>97.9</w:t>
            </w:r>
          </w:p>
        </w:tc>
        <w:tc>
          <w:tcPr>
            <w:tcW w:w="1000" w:type="pct"/>
            <w:tcBorders>
              <w:top w:val="nil"/>
              <w:left w:val="nil"/>
              <w:bottom w:val="single" w:sz="4" w:space="0" w:color="auto"/>
              <w:right w:val="single" w:sz="4" w:space="0" w:color="auto"/>
            </w:tcBorders>
            <w:shd w:val="clear" w:color="auto" w:fill="auto"/>
            <w:noWrap/>
            <w:vAlign w:val="center"/>
            <w:hideMark/>
          </w:tcPr>
          <w:p w14:paraId="06B7E3CB" w14:textId="77777777" w:rsidR="00E94C25" w:rsidRPr="00E94C25" w:rsidRDefault="00E94C25" w:rsidP="00E94C25">
            <w:pPr>
              <w:jc w:val="center"/>
              <w:rPr>
                <w:rFonts w:ascii="Calibri" w:hAnsi="Calibri"/>
                <w:sz w:val="22"/>
                <w:szCs w:val="22"/>
              </w:rPr>
            </w:pPr>
            <w:r w:rsidRPr="00E94C25">
              <w:rPr>
                <w:rFonts w:ascii="Calibri" w:hAnsi="Calibri"/>
                <w:sz w:val="22"/>
                <w:szCs w:val="22"/>
              </w:rPr>
              <w:t>110.4</w:t>
            </w:r>
          </w:p>
        </w:tc>
        <w:tc>
          <w:tcPr>
            <w:tcW w:w="1000" w:type="pct"/>
            <w:tcBorders>
              <w:top w:val="nil"/>
              <w:left w:val="nil"/>
              <w:bottom w:val="single" w:sz="4" w:space="0" w:color="auto"/>
              <w:right w:val="single" w:sz="4" w:space="0" w:color="auto"/>
            </w:tcBorders>
            <w:shd w:val="clear" w:color="auto" w:fill="auto"/>
            <w:noWrap/>
            <w:vAlign w:val="center"/>
            <w:hideMark/>
          </w:tcPr>
          <w:p w14:paraId="57AAA20F" w14:textId="77777777" w:rsidR="00E94C25" w:rsidRPr="00E94C25" w:rsidRDefault="00E94C25" w:rsidP="00E94C25">
            <w:pPr>
              <w:jc w:val="center"/>
              <w:rPr>
                <w:rFonts w:ascii="Calibri" w:hAnsi="Calibri"/>
                <w:sz w:val="22"/>
                <w:szCs w:val="22"/>
              </w:rPr>
            </w:pPr>
            <w:r w:rsidRPr="00E94C25">
              <w:rPr>
                <w:rFonts w:ascii="Calibri" w:hAnsi="Calibri"/>
                <w:sz w:val="22"/>
                <w:szCs w:val="22"/>
              </w:rPr>
              <w:t>116.5</w:t>
            </w:r>
          </w:p>
        </w:tc>
        <w:tc>
          <w:tcPr>
            <w:tcW w:w="1000" w:type="pct"/>
            <w:tcBorders>
              <w:top w:val="nil"/>
              <w:left w:val="nil"/>
              <w:bottom w:val="single" w:sz="4" w:space="0" w:color="auto"/>
              <w:right w:val="single" w:sz="4" w:space="0" w:color="auto"/>
            </w:tcBorders>
            <w:shd w:val="clear" w:color="auto" w:fill="auto"/>
            <w:noWrap/>
            <w:vAlign w:val="center"/>
            <w:hideMark/>
          </w:tcPr>
          <w:p w14:paraId="481805F2" w14:textId="77777777" w:rsidR="00E94C25" w:rsidRPr="00E94C25" w:rsidRDefault="00E94C25" w:rsidP="00E94C25">
            <w:pPr>
              <w:jc w:val="center"/>
              <w:rPr>
                <w:rFonts w:ascii="Calibri" w:hAnsi="Calibri"/>
                <w:sz w:val="22"/>
                <w:szCs w:val="22"/>
              </w:rPr>
            </w:pPr>
            <w:r w:rsidRPr="00E94C25">
              <w:rPr>
                <w:rFonts w:ascii="Calibri" w:hAnsi="Calibri"/>
                <w:sz w:val="22"/>
                <w:szCs w:val="22"/>
              </w:rPr>
              <w:t>126.6</w:t>
            </w:r>
          </w:p>
        </w:tc>
        <w:tc>
          <w:tcPr>
            <w:tcW w:w="1000" w:type="pct"/>
            <w:tcBorders>
              <w:top w:val="nil"/>
              <w:left w:val="nil"/>
              <w:bottom w:val="single" w:sz="4" w:space="0" w:color="auto"/>
              <w:right w:val="single" w:sz="4" w:space="0" w:color="auto"/>
            </w:tcBorders>
            <w:shd w:val="clear" w:color="auto" w:fill="auto"/>
            <w:noWrap/>
            <w:vAlign w:val="center"/>
            <w:hideMark/>
          </w:tcPr>
          <w:p w14:paraId="5CA8EF5A" w14:textId="77777777" w:rsidR="00E94C25" w:rsidRPr="00E94C25" w:rsidRDefault="00E94C25" w:rsidP="00E94C25">
            <w:pPr>
              <w:jc w:val="center"/>
              <w:rPr>
                <w:rFonts w:ascii="Calibri" w:hAnsi="Calibri"/>
                <w:sz w:val="22"/>
                <w:szCs w:val="22"/>
              </w:rPr>
            </w:pPr>
            <w:r w:rsidRPr="00E94C25">
              <w:rPr>
                <w:rFonts w:ascii="Calibri" w:hAnsi="Calibri"/>
                <w:sz w:val="22"/>
                <w:szCs w:val="22"/>
              </w:rPr>
              <w:t>137.1</w:t>
            </w:r>
          </w:p>
        </w:tc>
      </w:tr>
      <w:tr w:rsidR="00E94C25" w:rsidRPr="00E94C25" w14:paraId="3776B9A0"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27EECE89" w14:textId="77777777" w:rsidR="00E94C25" w:rsidRPr="00E94C25" w:rsidRDefault="00E94C25" w:rsidP="00E94C25">
            <w:pPr>
              <w:jc w:val="center"/>
              <w:rPr>
                <w:rFonts w:ascii="Calibri" w:hAnsi="Calibri"/>
                <w:sz w:val="22"/>
                <w:szCs w:val="22"/>
              </w:rPr>
            </w:pPr>
            <w:r w:rsidRPr="00E94C25">
              <w:rPr>
                <w:rFonts w:ascii="Calibri" w:hAnsi="Calibri"/>
                <w:sz w:val="22"/>
                <w:szCs w:val="22"/>
              </w:rPr>
              <w:t>104.6</w:t>
            </w:r>
          </w:p>
        </w:tc>
        <w:tc>
          <w:tcPr>
            <w:tcW w:w="1000" w:type="pct"/>
            <w:tcBorders>
              <w:top w:val="nil"/>
              <w:left w:val="nil"/>
              <w:bottom w:val="single" w:sz="4" w:space="0" w:color="auto"/>
              <w:right w:val="single" w:sz="4" w:space="0" w:color="auto"/>
            </w:tcBorders>
            <w:shd w:val="clear" w:color="auto" w:fill="auto"/>
            <w:noWrap/>
            <w:vAlign w:val="center"/>
            <w:hideMark/>
          </w:tcPr>
          <w:p w14:paraId="0F762EFF" w14:textId="77777777" w:rsidR="00E94C25" w:rsidRPr="00E94C25" w:rsidRDefault="00E94C25" w:rsidP="00E94C25">
            <w:pPr>
              <w:jc w:val="center"/>
              <w:rPr>
                <w:rFonts w:ascii="Calibri" w:hAnsi="Calibri"/>
                <w:sz w:val="22"/>
                <w:szCs w:val="22"/>
              </w:rPr>
            </w:pPr>
            <w:r w:rsidRPr="00E94C25">
              <w:rPr>
                <w:rFonts w:ascii="Calibri" w:hAnsi="Calibri"/>
                <w:sz w:val="22"/>
                <w:szCs w:val="22"/>
              </w:rPr>
              <w:t>122.6</w:t>
            </w:r>
          </w:p>
        </w:tc>
        <w:tc>
          <w:tcPr>
            <w:tcW w:w="1000" w:type="pct"/>
            <w:tcBorders>
              <w:top w:val="nil"/>
              <w:left w:val="nil"/>
              <w:bottom w:val="single" w:sz="4" w:space="0" w:color="auto"/>
              <w:right w:val="single" w:sz="4" w:space="0" w:color="auto"/>
            </w:tcBorders>
            <w:shd w:val="clear" w:color="auto" w:fill="auto"/>
            <w:noWrap/>
            <w:vAlign w:val="center"/>
            <w:hideMark/>
          </w:tcPr>
          <w:p w14:paraId="43F59C37" w14:textId="77777777" w:rsidR="00E94C25" w:rsidRPr="00E94C25" w:rsidRDefault="00E94C25" w:rsidP="00E94C25">
            <w:pPr>
              <w:jc w:val="center"/>
              <w:rPr>
                <w:rFonts w:ascii="Calibri" w:hAnsi="Calibri"/>
                <w:sz w:val="22"/>
                <w:szCs w:val="22"/>
              </w:rPr>
            </w:pPr>
            <w:r w:rsidRPr="00E94C25">
              <w:rPr>
                <w:rFonts w:ascii="Calibri" w:hAnsi="Calibri"/>
                <w:sz w:val="22"/>
                <w:szCs w:val="22"/>
              </w:rPr>
              <w:t>128.5</w:t>
            </w:r>
          </w:p>
        </w:tc>
        <w:tc>
          <w:tcPr>
            <w:tcW w:w="1000" w:type="pct"/>
            <w:tcBorders>
              <w:top w:val="nil"/>
              <w:left w:val="nil"/>
              <w:bottom w:val="single" w:sz="4" w:space="0" w:color="auto"/>
              <w:right w:val="single" w:sz="4" w:space="0" w:color="auto"/>
            </w:tcBorders>
            <w:shd w:val="clear" w:color="auto" w:fill="auto"/>
            <w:noWrap/>
            <w:vAlign w:val="center"/>
            <w:hideMark/>
          </w:tcPr>
          <w:p w14:paraId="4076D0EF" w14:textId="77777777" w:rsidR="00E94C25" w:rsidRPr="00E94C25" w:rsidRDefault="00E94C25" w:rsidP="00E94C25">
            <w:pPr>
              <w:jc w:val="center"/>
              <w:rPr>
                <w:rFonts w:ascii="Calibri" w:hAnsi="Calibri"/>
                <w:sz w:val="22"/>
                <w:szCs w:val="22"/>
              </w:rPr>
            </w:pPr>
            <w:r w:rsidRPr="00E94C25">
              <w:rPr>
                <w:rFonts w:ascii="Calibri" w:hAnsi="Calibri"/>
                <w:sz w:val="22"/>
                <w:szCs w:val="22"/>
              </w:rPr>
              <w:t>133.4</w:t>
            </w:r>
          </w:p>
        </w:tc>
        <w:tc>
          <w:tcPr>
            <w:tcW w:w="1000" w:type="pct"/>
            <w:tcBorders>
              <w:top w:val="nil"/>
              <w:left w:val="nil"/>
              <w:bottom w:val="single" w:sz="4" w:space="0" w:color="auto"/>
              <w:right w:val="single" w:sz="4" w:space="0" w:color="auto"/>
            </w:tcBorders>
            <w:shd w:val="clear" w:color="auto" w:fill="auto"/>
            <w:noWrap/>
            <w:vAlign w:val="center"/>
            <w:hideMark/>
          </w:tcPr>
          <w:p w14:paraId="293A2A55" w14:textId="77777777" w:rsidR="00E94C25" w:rsidRPr="00E94C25" w:rsidRDefault="00E94C25" w:rsidP="00E94C25">
            <w:pPr>
              <w:jc w:val="center"/>
              <w:rPr>
                <w:rFonts w:ascii="Calibri" w:hAnsi="Calibri"/>
                <w:sz w:val="22"/>
                <w:szCs w:val="22"/>
              </w:rPr>
            </w:pPr>
            <w:r w:rsidRPr="00E94C25">
              <w:rPr>
                <w:rFonts w:ascii="Calibri" w:hAnsi="Calibri"/>
                <w:sz w:val="22"/>
                <w:szCs w:val="22"/>
              </w:rPr>
              <w:t>141.9</w:t>
            </w:r>
          </w:p>
        </w:tc>
      </w:tr>
      <w:tr w:rsidR="00E94C25" w:rsidRPr="00E94C25" w14:paraId="5778321D"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60BBF22F" w14:textId="77777777" w:rsidR="00E94C25" w:rsidRPr="00E94C25" w:rsidRDefault="00E94C25" w:rsidP="00E94C25">
            <w:pPr>
              <w:jc w:val="center"/>
              <w:rPr>
                <w:rFonts w:ascii="Calibri" w:hAnsi="Calibri"/>
                <w:sz w:val="22"/>
                <w:szCs w:val="22"/>
              </w:rPr>
            </w:pPr>
            <w:r w:rsidRPr="00E94C25">
              <w:rPr>
                <w:rFonts w:ascii="Calibri" w:hAnsi="Calibri"/>
                <w:sz w:val="22"/>
                <w:szCs w:val="22"/>
              </w:rPr>
              <w:t>108.1</w:t>
            </w:r>
          </w:p>
        </w:tc>
        <w:tc>
          <w:tcPr>
            <w:tcW w:w="1000" w:type="pct"/>
            <w:tcBorders>
              <w:top w:val="nil"/>
              <w:left w:val="nil"/>
              <w:bottom w:val="single" w:sz="4" w:space="0" w:color="auto"/>
              <w:right w:val="single" w:sz="4" w:space="0" w:color="auto"/>
            </w:tcBorders>
            <w:shd w:val="clear" w:color="auto" w:fill="auto"/>
            <w:noWrap/>
            <w:vAlign w:val="center"/>
            <w:hideMark/>
          </w:tcPr>
          <w:p w14:paraId="2546E4B8" w14:textId="77777777" w:rsidR="00E94C25" w:rsidRPr="00E94C25" w:rsidRDefault="00E94C25" w:rsidP="00E94C25">
            <w:pPr>
              <w:jc w:val="center"/>
              <w:rPr>
                <w:rFonts w:ascii="Calibri" w:hAnsi="Calibri"/>
                <w:sz w:val="22"/>
                <w:szCs w:val="22"/>
              </w:rPr>
            </w:pPr>
            <w:r w:rsidRPr="00E94C25">
              <w:rPr>
                <w:rFonts w:ascii="Calibri" w:hAnsi="Calibri"/>
                <w:sz w:val="22"/>
                <w:szCs w:val="22"/>
              </w:rPr>
              <w:t>120.0</w:t>
            </w:r>
          </w:p>
        </w:tc>
        <w:tc>
          <w:tcPr>
            <w:tcW w:w="1000" w:type="pct"/>
            <w:tcBorders>
              <w:top w:val="nil"/>
              <w:left w:val="nil"/>
              <w:bottom w:val="single" w:sz="4" w:space="0" w:color="auto"/>
              <w:right w:val="single" w:sz="4" w:space="0" w:color="auto"/>
            </w:tcBorders>
            <w:shd w:val="clear" w:color="auto" w:fill="auto"/>
            <w:noWrap/>
            <w:vAlign w:val="center"/>
            <w:hideMark/>
          </w:tcPr>
          <w:p w14:paraId="2BC1330C" w14:textId="77777777" w:rsidR="00E94C25" w:rsidRPr="00E94C25" w:rsidRDefault="00E94C25" w:rsidP="00E94C25">
            <w:pPr>
              <w:jc w:val="center"/>
              <w:rPr>
                <w:rFonts w:ascii="Calibri" w:hAnsi="Calibri"/>
                <w:sz w:val="22"/>
                <w:szCs w:val="22"/>
              </w:rPr>
            </w:pPr>
            <w:r w:rsidRPr="00E94C25">
              <w:rPr>
                <w:rFonts w:ascii="Calibri" w:hAnsi="Calibri"/>
                <w:sz w:val="22"/>
                <w:szCs w:val="22"/>
              </w:rPr>
              <w:t>126.7</w:t>
            </w:r>
          </w:p>
        </w:tc>
        <w:tc>
          <w:tcPr>
            <w:tcW w:w="1000" w:type="pct"/>
            <w:tcBorders>
              <w:top w:val="nil"/>
              <w:left w:val="nil"/>
              <w:bottom w:val="single" w:sz="4" w:space="0" w:color="auto"/>
              <w:right w:val="single" w:sz="4" w:space="0" w:color="auto"/>
            </w:tcBorders>
            <w:shd w:val="clear" w:color="auto" w:fill="auto"/>
            <w:noWrap/>
            <w:vAlign w:val="center"/>
            <w:hideMark/>
          </w:tcPr>
          <w:p w14:paraId="2DD022C9" w14:textId="77777777" w:rsidR="00E94C25" w:rsidRPr="00E94C25" w:rsidRDefault="00E94C25" w:rsidP="00E94C25">
            <w:pPr>
              <w:jc w:val="center"/>
              <w:rPr>
                <w:rFonts w:ascii="Calibri" w:hAnsi="Calibri"/>
                <w:sz w:val="22"/>
                <w:szCs w:val="22"/>
              </w:rPr>
            </w:pPr>
            <w:r w:rsidRPr="00E94C25">
              <w:rPr>
                <w:rFonts w:ascii="Calibri" w:hAnsi="Calibri"/>
                <w:sz w:val="22"/>
                <w:szCs w:val="22"/>
              </w:rPr>
              <w:t>131.0</w:t>
            </w:r>
          </w:p>
        </w:tc>
        <w:tc>
          <w:tcPr>
            <w:tcW w:w="1000" w:type="pct"/>
            <w:tcBorders>
              <w:top w:val="nil"/>
              <w:left w:val="nil"/>
              <w:bottom w:val="single" w:sz="4" w:space="0" w:color="auto"/>
              <w:right w:val="single" w:sz="4" w:space="0" w:color="auto"/>
            </w:tcBorders>
            <w:shd w:val="clear" w:color="auto" w:fill="auto"/>
            <w:noWrap/>
            <w:vAlign w:val="center"/>
            <w:hideMark/>
          </w:tcPr>
          <w:p w14:paraId="24D3412D" w14:textId="77777777" w:rsidR="00E94C25" w:rsidRPr="00E94C25" w:rsidRDefault="00E94C25" w:rsidP="00E94C25">
            <w:pPr>
              <w:jc w:val="center"/>
              <w:rPr>
                <w:rFonts w:ascii="Calibri" w:hAnsi="Calibri"/>
                <w:sz w:val="22"/>
                <w:szCs w:val="22"/>
              </w:rPr>
            </w:pPr>
            <w:r w:rsidRPr="00E94C25">
              <w:rPr>
                <w:rFonts w:ascii="Calibri" w:hAnsi="Calibri"/>
                <w:sz w:val="22"/>
                <w:szCs w:val="22"/>
              </w:rPr>
              <w:t>140.0</w:t>
            </w:r>
          </w:p>
        </w:tc>
      </w:tr>
      <w:tr w:rsidR="00E94C25" w:rsidRPr="00E94C25" w14:paraId="0D64739B"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3927696A" w14:textId="77777777" w:rsidR="00E94C25" w:rsidRPr="00E94C25" w:rsidRDefault="00E94C25" w:rsidP="00E94C25">
            <w:pPr>
              <w:jc w:val="center"/>
              <w:rPr>
                <w:rFonts w:ascii="Calibri" w:hAnsi="Calibri"/>
                <w:sz w:val="22"/>
                <w:szCs w:val="22"/>
              </w:rPr>
            </w:pPr>
            <w:r w:rsidRPr="00E94C25">
              <w:rPr>
                <w:rFonts w:ascii="Calibri" w:hAnsi="Calibri"/>
                <w:sz w:val="22"/>
                <w:szCs w:val="22"/>
              </w:rPr>
              <w:t>109.5</w:t>
            </w:r>
          </w:p>
        </w:tc>
        <w:tc>
          <w:tcPr>
            <w:tcW w:w="1000" w:type="pct"/>
            <w:tcBorders>
              <w:top w:val="nil"/>
              <w:left w:val="nil"/>
              <w:bottom w:val="single" w:sz="4" w:space="0" w:color="auto"/>
              <w:right w:val="single" w:sz="4" w:space="0" w:color="auto"/>
            </w:tcBorders>
            <w:shd w:val="clear" w:color="auto" w:fill="auto"/>
            <w:noWrap/>
            <w:vAlign w:val="center"/>
            <w:hideMark/>
          </w:tcPr>
          <w:p w14:paraId="3803CA0C" w14:textId="77777777" w:rsidR="00E94C25" w:rsidRPr="00E94C25" w:rsidRDefault="00E94C25" w:rsidP="00E94C25">
            <w:pPr>
              <w:jc w:val="center"/>
              <w:rPr>
                <w:rFonts w:ascii="Calibri" w:hAnsi="Calibri"/>
                <w:sz w:val="22"/>
                <w:szCs w:val="22"/>
              </w:rPr>
            </w:pPr>
            <w:r w:rsidRPr="00E94C25">
              <w:rPr>
                <w:rFonts w:ascii="Calibri" w:hAnsi="Calibri"/>
                <w:sz w:val="22"/>
                <w:szCs w:val="22"/>
              </w:rPr>
              <w:t>124.8</w:t>
            </w:r>
          </w:p>
        </w:tc>
        <w:tc>
          <w:tcPr>
            <w:tcW w:w="1000" w:type="pct"/>
            <w:tcBorders>
              <w:top w:val="nil"/>
              <w:left w:val="nil"/>
              <w:bottom w:val="single" w:sz="4" w:space="0" w:color="auto"/>
              <w:right w:val="single" w:sz="4" w:space="0" w:color="auto"/>
            </w:tcBorders>
            <w:shd w:val="clear" w:color="auto" w:fill="auto"/>
            <w:noWrap/>
            <w:vAlign w:val="center"/>
            <w:hideMark/>
          </w:tcPr>
          <w:p w14:paraId="046AED3A" w14:textId="77777777" w:rsidR="00E94C25" w:rsidRPr="00E94C25" w:rsidRDefault="00E94C25" w:rsidP="00E94C25">
            <w:pPr>
              <w:jc w:val="center"/>
              <w:rPr>
                <w:rFonts w:ascii="Calibri" w:hAnsi="Calibri"/>
                <w:sz w:val="22"/>
                <w:szCs w:val="22"/>
              </w:rPr>
            </w:pPr>
            <w:r w:rsidRPr="00E94C25">
              <w:rPr>
                <w:rFonts w:ascii="Calibri" w:hAnsi="Calibri"/>
                <w:sz w:val="22"/>
                <w:szCs w:val="22"/>
              </w:rPr>
              <w:t>131.9</w:t>
            </w:r>
          </w:p>
        </w:tc>
        <w:tc>
          <w:tcPr>
            <w:tcW w:w="1000" w:type="pct"/>
            <w:tcBorders>
              <w:top w:val="nil"/>
              <w:left w:val="nil"/>
              <w:bottom w:val="single" w:sz="4" w:space="0" w:color="auto"/>
              <w:right w:val="single" w:sz="4" w:space="0" w:color="auto"/>
            </w:tcBorders>
            <w:shd w:val="clear" w:color="auto" w:fill="auto"/>
            <w:noWrap/>
            <w:vAlign w:val="center"/>
            <w:hideMark/>
          </w:tcPr>
          <w:p w14:paraId="151B8CC2" w14:textId="77777777" w:rsidR="00E94C25" w:rsidRPr="00E94C25" w:rsidRDefault="00E94C25" w:rsidP="00E94C25">
            <w:pPr>
              <w:jc w:val="center"/>
              <w:rPr>
                <w:rFonts w:ascii="Calibri" w:hAnsi="Calibri"/>
                <w:sz w:val="22"/>
                <w:szCs w:val="22"/>
              </w:rPr>
            </w:pPr>
            <w:r w:rsidRPr="00E94C25">
              <w:rPr>
                <w:rFonts w:ascii="Calibri" w:hAnsi="Calibri"/>
                <w:sz w:val="22"/>
                <w:szCs w:val="22"/>
              </w:rPr>
              <w:t>137.8</w:t>
            </w:r>
          </w:p>
        </w:tc>
        <w:tc>
          <w:tcPr>
            <w:tcW w:w="1000" w:type="pct"/>
            <w:tcBorders>
              <w:top w:val="nil"/>
              <w:left w:val="nil"/>
              <w:bottom w:val="single" w:sz="4" w:space="0" w:color="auto"/>
              <w:right w:val="single" w:sz="4" w:space="0" w:color="auto"/>
            </w:tcBorders>
            <w:shd w:val="clear" w:color="auto" w:fill="auto"/>
            <w:noWrap/>
            <w:vAlign w:val="center"/>
            <w:hideMark/>
          </w:tcPr>
          <w:p w14:paraId="5CF3BB47" w14:textId="77777777" w:rsidR="00E94C25" w:rsidRPr="00E94C25" w:rsidRDefault="00E94C25" w:rsidP="00E94C25">
            <w:pPr>
              <w:jc w:val="center"/>
              <w:rPr>
                <w:rFonts w:ascii="Calibri" w:hAnsi="Calibri"/>
                <w:sz w:val="22"/>
                <w:szCs w:val="22"/>
              </w:rPr>
            </w:pPr>
            <w:r w:rsidRPr="00E94C25">
              <w:rPr>
                <w:rFonts w:ascii="Calibri" w:hAnsi="Calibri"/>
                <w:sz w:val="22"/>
                <w:szCs w:val="22"/>
              </w:rPr>
              <w:t>143.7</w:t>
            </w:r>
          </w:p>
        </w:tc>
      </w:tr>
      <w:tr w:rsidR="00E94C25" w:rsidRPr="00E94C25" w14:paraId="51991281"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61B3A87F" w14:textId="77777777" w:rsidR="00E94C25" w:rsidRPr="00E94C25" w:rsidRDefault="00E94C25" w:rsidP="00E94C25">
            <w:pPr>
              <w:jc w:val="center"/>
              <w:rPr>
                <w:rFonts w:ascii="Calibri" w:hAnsi="Calibri"/>
                <w:sz w:val="22"/>
                <w:szCs w:val="22"/>
              </w:rPr>
            </w:pPr>
            <w:r w:rsidRPr="00E94C25">
              <w:rPr>
                <w:rFonts w:ascii="Calibri" w:hAnsi="Calibri"/>
                <w:sz w:val="22"/>
                <w:szCs w:val="22"/>
              </w:rPr>
              <w:t>118.3</w:t>
            </w:r>
          </w:p>
        </w:tc>
        <w:tc>
          <w:tcPr>
            <w:tcW w:w="1000" w:type="pct"/>
            <w:tcBorders>
              <w:top w:val="nil"/>
              <w:left w:val="nil"/>
              <w:bottom w:val="single" w:sz="4" w:space="0" w:color="auto"/>
              <w:right w:val="single" w:sz="4" w:space="0" w:color="auto"/>
            </w:tcBorders>
            <w:shd w:val="clear" w:color="auto" w:fill="auto"/>
            <w:noWrap/>
            <w:vAlign w:val="center"/>
            <w:hideMark/>
          </w:tcPr>
          <w:p w14:paraId="4453E9E7" w14:textId="77777777" w:rsidR="00E94C25" w:rsidRPr="00E94C25" w:rsidRDefault="00E94C25" w:rsidP="00E94C25">
            <w:pPr>
              <w:jc w:val="center"/>
              <w:rPr>
                <w:rFonts w:ascii="Calibri" w:hAnsi="Calibri"/>
                <w:sz w:val="22"/>
                <w:szCs w:val="22"/>
              </w:rPr>
            </w:pPr>
            <w:r w:rsidRPr="00E94C25">
              <w:rPr>
                <w:rFonts w:ascii="Calibri" w:hAnsi="Calibri"/>
                <w:sz w:val="22"/>
                <w:szCs w:val="22"/>
              </w:rPr>
              <w:t>127.7</w:t>
            </w:r>
          </w:p>
        </w:tc>
        <w:tc>
          <w:tcPr>
            <w:tcW w:w="1000" w:type="pct"/>
            <w:tcBorders>
              <w:top w:val="nil"/>
              <w:left w:val="nil"/>
              <w:bottom w:val="single" w:sz="4" w:space="0" w:color="auto"/>
              <w:right w:val="single" w:sz="4" w:space="0" w:color="auto"/>
            </w:tcBorders>
            <w:shd w:val="clear" w:color="auto" w:fill="auto"/>
            <w:noWrap/>
            <w:vAlign w:val="center"/>
            <w:hideMark/>
          </w:tcPr>
          <w:p w14:paraId="62410D9F" w14:textId="77777777" w:rsidR="00E94C25" w:rsidRPr="00E94C25" w:rsidRDefault="00E94C25" w:rsidP="00E94C25">
            <w:pPr>
              <w:jc w:val="center"/>
              <w:rPr>
                <w:rFonts w:ascii="Calibri" w:hAnsi="Calibri"/>
                <w:sz w:val="22"/>
                <w:szCs w:val="22"/>
              </w:rPr>
            </w:pPr>
            <w:r w:rsidRPr="00E94C25">
              <w:rPr>
                <w:rFonts w:ascii="Calibri" w:hAnsi="Calibri"/>
                <w:sz w:val="22"/>
                <w:szCs w:val="22"/>
              </w:rPr>
              <w:t>130.4</w:t>
            </w:r>
          </w:p>
        </w:tc>
        <w:tc>
          <w:tcPr>
            <w:tcW w:w="1000" w:type="pct"/>
            <w:tcBorders>
              <w:top w:val="nil"/>
              <w:left w:val="nil"/>
              <w:bottom w:val="single" w:sz="4" w:space="0" w:color="auto"/>
              <w:right w:val="single" w:sz="4" w:space="0" w:color="auto"/>
            </w:tcBorders>
            <w:shd w:val="clear" w:color="auto" w:fill="auto"/>
            <w:noWrap/>
            <w:vAlign w:val="center"/>
            <w:hideMark/>
          </w:tcPr>
          <w:p w14:paraId="74B46A45" w14:textId="77777777" w:rsidR="00E94C25" w:rsidRPr="00E94C25" w:rsidRDefault="00E94C25" w:rsidP="00E94C25">
            <w:pPr>
              <w:jc w:val="center"/>
              <w:rPr>
                <w:rFonts w:ascii="Calibri" w:hAnsi="Calibri"/>
                <w:sz w:val="22"/>
                <w:szCs w:val="22"/>
              </w:rPr>
            </w:pPr>
            <w:r w:rsidRPr="00E94C25">
              <w:rPr>
                <w:rFonts w:ascii="Calibri" w:hAnsi="Calibri"/>
                <w:sz w:val="22"/>
                <w:szCs w:val="22"/>
              </w:rPr>
              <w:t>134.0</w:t>
            </w:r>
          </w:p>
        </w:tc>
        <w:tc>
          <w:tcPr>
            <w:tcW w:w="1000" w:type="pct"/>
            <w:tcBorders>
              <w:top w:val="nil"/>
              <w:left w:val="nil"/>
              <w:bottom w:val="single" w:sz="4" w:space="0" w:color="auto"/>
              <w:right w:val="single" w:sz="4" w:space="0" w:color="auto"/>
            </w:tcBorders>
            <w:shd w:val="clear" w:color="auto" w:fill="auto"/>
            <w:noWrap/>
            <w:vAlign w:val="center"/>
            <w:hideMark/>
          </w:tcPr>
          <w:p w14:paraId="485DCD48" w14:textId="77777777" w:rsidR="00E94C25" w:rsidRPr="00E94C25" w:rsidRDefault="00E94C25" w:rsidP="00E94C25">
            <w:pPr>
              <w:jc w:val="center"/>
              <w:rPr>
                <w:rFonts w:ascii="Calibri" w:hAnsi="Calibri"/>
                <w:sz w:val="22"/>
                <w:szCs w:val="22"/>
              </w:rPr>
            </w:pPr>
            <w:r w:rsidRPr="00E94C25">
              <w:rPr>
                <w:rFonts w:ascii="Calibri" w:hAnsi="Calibri"/>
                <w:sz w:val="22"/>
                <w:szCs w:val="22"/>
              </w:rPr>
              <w:t>140.0</w:t>
            </w:r>
          </w:p>
        </w:tc>
      </w:tr>
      <w:tr w:rsidR="00E94C25" w:rsidRPr="00E94C25" w14:paraId="03C447BB"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7867C669" w14:textId="77777777" w:rsidR="00E94C25" w:rsidRPr="00E94C25" w:rsidRDefault="00E94C25" w:rsidP="00E94C25">
            <w:pPr>
              <w:jc w:val="center"/>
              <w:rPr>
                <w:rFonts w:ascii="Calibri" w:hAnsi="Calibri"/>
                <w:sz w:val="22"/>
                <w:szCs w:val="22"/>
              </w:rPr>
            </w:pPr>
            <w:r w:rsidRPr="00E94C25">
              <w:rPr>
                <w:rFonts w:ascii="Calibri" w:hAnsi="Calibri"/>
                <w:sz w:val="22"/>
                <w:szCs w:val="22"/>
              </w:rPr>
              <w:t>114.3</w:t>
            </w:r>
          </w:p>
        </w:tc>
        <w:tc>
          <w:tcPr>
            <w:tcW w:w="1000" w:type="pct"/>
            <w:tcBorders>
              <w:top w:val="nil"/>
              <w:left w:val="nil"/>
              <w:bottom w:val="single" w:sz="4" w:space="0" w:color="auto"/>
              <w:right w:val="single" w:sz="4" w:space="0" w:color="auto"/>
            </w:tcBorders>
            <w:shd w:val="clear" w:color="auto" w:fill="auto"/>
            <w:noWrap/>
            <w:vAlign w:val="center"/>
            <w:hideMark/>
          </w:tcPr>
          <w:p w14:paraId="4033AB65" w14:textId="77777777" w:rsidR="00E94C25" w:rsidRPr="00E94C25" w:rsidRDefault="00E94C25" w:rsidP="00E94C25">
            <w:pPr>
              <w:jc w:val="center"/>
              <w:rPr>
                <w:rFonts w:ascii="Calibri" w:hAnsi="Calibri"/>
                <w:sz w:val="22"/>
                <w:szCs w:val="22"/>
              </w:rPr>
            </w:pPr>
            <w:r w:rsidRPr="00E94C25">
              <w:rPr>
                <w:rFonts w:ascii="Calibri" w:hAnsi="Calibri"/>
                <w:sz w:val="22"/>
                <w:szCs w:val="22"/>
              </w:rPr>
              <w:t>127.9</w:t>
            </w:r>
          </w:p>
        </w:tc>
        <w:tc>
          <w:tcPr>
            <w:tcW w:w="1000" w:type="pct"/>
            <w:tcBorders>
              <w:top w:val="nil"/>
              <w:left w:val="nil"/>
              <w:bottom w:val="single" w:sz="4" w:space="0" w:color="auto"/>
              <w:right w:val="single" w:sz="4" w:space="0" w:color="auto"/>
            </w:tcBorders>
            <w:shd w:val="clear" w:color="auto" w:fill="auto"/>
            <w:noWrap/>
            <w:vAlign w:val="center"/>
            <w:hideMark/>
          </w:tcPr>
          <w:p w14:paraId="19432845" w14:textId="77777777" w:rsidR="00E94C25" w:rsidRPr="00E94C25" w:rsidRDefault="00E94C25" w:rsidP="00E94C25">
            <w:pPr>
              <w:jc w:val="center"/>
              <w:rPr>
                <w:rFonts w:ascii="Calibri" w:hAnsi="Calibri"/>
                <w:sz w:val="22"/>
                <w:szCs w:val="22"/>
              </w:rPr>
            </w:pPr>
            <w:r w:rsidRPr="00E94C25">
              <w:rPr>
                <w:rFonts w:ascii="Calibri" w:hAnsi="Calibri"/>
                <w:sz w:val="22"/>
                <w:szCs w:val="22"/>
              </w:rPr>
              <w:t>131.8</w:t>
            </w:r>
          </w:p>
        </w:tc>
        <w:tc>
          <w:tcPr>
            <w:tcW w:w="1000" w:type="pct"/>
            <w:tcBorders>
              <w:top w:val="nil"/>
              <w:left w:val="nil"/>
              <w:bottom w:val="single" w:sz="4" w:space="0" w:color="auto"/>
              <w:right w:val="single" w:sz="4" w:space="0" w:color="auto"/>
            </w:tcBorders>
            <w:shd w:val="clear" w:color="auto" w:fill="auto"/>
            <w:noWrap/>
            <w:vAlign w:val="center"/>
            <w:hideMark/>
          </w:tcPr>
          <w:p w14:paraId="406CAC18" w14:textId="77777777" w:rsidR="00E94C25" w:rsidRPr="00E94C25" w:rsidRDefault="00E94C25" w:rsidP="00E94C25">
            <w:pPr>
              <w:jc w:val="center"/>
              <w:rPr>
                <w:rFonts w:ascii="Calibri" w:hAnsi="Calibri"/>
                <w:sz w:val="22"/>
                <w:szCs w:val="22"/>
              </w:rPr>
            </w:pPr>
            <w:r w:rsidRPr="00E94C25">
              <w:rPr>
                <w:rFonts w:ascii="Calibri" w:hAnsi="Calibri"/>
                <w:sz w:val="22"/>
                <w:szCs w:val="22"/>
              </w:rPr>
              <w:t>138.0</w:t>
            </w:r>
          </w:p>
        </w:tc>
        <w:tc>
          <w:tcPr>
            <w:tcW w:w="1000" w:type="pct"/>
            <w:tcBorders>
              <w:top w:val="nil"/>
              <w:left w:val="nil"/>
              <w:bottom w:val="single" w:sz="4" w:space="0" w:color="auto"/>
              <w:right w:val="single" w:sz="4" w:space="0" w:color="auto"/>
            </w:tcBorders>
            <w:shd w:val="clear" w:color="auto" w:fill="auto"/>
            <w:noWrap/>
            <w:vAlign w:val="center"/>
            <w:hideMark/>
          </w:tcPr>
          <w:p w14:paraId="2412E412" w14:textId="77777777" w:rsidR="00E94C25" w:rsidRPr="00E94C25" w:rsidRDefault="00E94C25" w:rsidP="00E94C25">
            <w:pPr>
              <w:jc w:val="center"/>
              <w:rPr>
                <w:rFonts w:ascii="Calibri" w:hAnsi="Calibri"/>
                <w:sz w:val="22"/>
                <w:szCs w:val="22"/>
              </w:rPr>
            </w:pPr>
            <w:r w:rsidRPr="00E94C25">
              <w:rPr>
                <w:rFonts w:ascii="Calibri" w:hAnsi="Calibri"/>
                <w:sz w:val="22"/>
                <w:szCs w:val="22"/>
              </w:rPr>
              <w:t>144.1</w:t>
            </w:r>
          </w:p>
        </w:tc>
      </w:tr>
      <w:tr w:rsidR="00E94C25" w:rsidRPr="00E94C25" w14:paraId="49094EE7"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1C008576" w14:textId="77777777" w:rsidR="00E94C25" w:rsidRPr="00E94C25" w:rsidRDefault="00E94C25" w:rsidP="00E94C25">
            <w:pPr>
              <w:jc w:val="center"/>
              <w:rPr>
                <w:rFonts w:ascii="Calibri" w:hAnsi="Calibri"/>
                <w:sz w:val="22"/>
                <w:szCs w:val="22"/>
              </w:rPr>
            </w:pPr>
            <w:r w:rsidRPr="00E94C25">
              <w:rPr>
                <w:rFonts w:ascii="Calibri" w:hAnsi="Calibri"/>
                <w:sz w:val="22"/>
                <w:szCs w:val="22"/>
              </w:rPr>
              <w:t>113.6</w:t>
            </w:r>
          </w:p>
        </w:tc>
        <w:tc>
          <w:tcPr>
            <w:tcW w:w="1000" w:type="pct"/>
            <w:tcBorders>
              <w:top w:val="nil"/>
              <w:left w:val="nil"/>
              <w:bottom w:val="single" w:sz="4" w:space="0" w:color="auto"/>
              <w:right w:val="single" w:sz="4" w:space="0" w:color="auto"/>
            </w:tcBorders>
            <w:shd w:val="clear" w:color="auto" w:fill="auto"/>
            <w:noWrap/>
            <w:vAlign w:val="center"/>
            <w:hideMark/>
          </w:tcPr>
          <w:p w14:paraId="5B0CC001" w14:textId="77777777" w:rsidR="00E94C25" w:rsidRPr="00E94C25" w:rsidRDefault="00E94C25" w:rsidP="00E94C25">
            <w:pPr>
              <w:jc w:val="center"/>
              <w:rPr>
                <w:rFonts w:ascii="Calibri" w:hAnsi="Calibri"/>
                <w:sz w:val="22"/>
                <w:szCs w:val="22"/>
              </w:rPr>
            </w:pPr>
            <w:r w:rsidRPr="00E94C25">
              <w:rPr>
                <w:rFonts w:ascii="Calibri" w:hAnsi="Calibri"/>
                <w:sz w:val="22"/>
                <w:szCs w:val="22"/>
              </w:rPr>
              <w:t>127.1</w:t>
            </w:r>
          </w:p>
        </w:tc>
        <w:tc>
          <w:tcPr>
            <w:tcW w:w="1000" w:type="pct"/>
            <w:tcBorders>
              <w:top w:val="nil"/>
              <w:left w:val="nil"/>
              <w:bottom w:val="single" w:sz="4" w:space="0" w:color="auto"/>
              <w:right w:val="single" w:sz="4" w:space="0" w:color="auto"/>
            </w:tcBorders>
            <w:shd w:val="clear" w:color="auto" w:fill="auto"/>
            <w:noWrap/>
            <w:vAlign w:val="center"/>
            <w:hideMark/>
          </w:tcPr>
          <w:p w14:paraId="132ED2CA" w14:textId="77777777" w:rsidR="00E94C25" w:rsidRPr="00E94C25" w:rsidRDefault="00E94C25" w:rsidP="00E94C25">
            <w:pPr>
              <w:jc w:val="center"/>
              <w:rPr>
                <w:rFonts w:ascii="Calibri" w:hAnsi="Calibri"/>
                <w:sz w:val="22"/>
                <w:szCs w:val="22"/>
              </w:rPr>
            </w:pPr>
            <w:r w:rsidRPr="00E94C25">
              <w:rPr>
                <w:rFonts w:ascii="Calibri" w:hAnsi="Calibri"/>
                <w:sz w:val="22"/>
                <w:szCs w:val="22"/>
              </w:rPr>
              <w:t>130.7</w:t>
            </w:r>
          </w:p>
        </w:tc>
        <w:tc>
          <w:tcPr>
            <w:tcW w:w="1000" w:type="pct"/>
            <w:tcBorders>
              <w:top w:val="nil"/>
              <w:left w:val="nil"/>
              <w:bottom w:val="single" w:sz="4" w:space="0" w:color="auto"/>
              <w:right w:val="single" w:sz="4" w:space="0" w:color="auto"/>
            </w:tcBorders>
            <w:shd w:val="clear" w:color="auto" w:fill="auto"/>
            <w:noWrap/>
            <w:vAlign w:val="center"/>
            <w:hideMark/>
          </w:tcPr>
          <w:p w14:paraId="06593C7E" w14:textId="77777777" w:rsidR="00E94C25" w:rsidRPr="00E94C25" w:rsidRDefault="00E94C25" w:rsidP="00E94C25">
            <w:pPr>
              <w:jc w:val="center"/>
              <w:rPr>
                <w:rFonts w:ascii="Calibri" w:hAnsi="Calibri"/>
                <w:sz w:val="22"/>
                <w:szCs w:val="22"/>
              </w:rPr>
            </w:pPr>
            <w:r w:rsidRPr="00E94C25">
              <w:rPr>
                <w:rFonts w:ascii="Calibri" w:hAnsi="Calibri"/>
                <w:sz w:val="22"/>
                <w:szCs w:val="22"/>
              </w:rPr>
              <w:t>134.4</w:t>
            </w:r>
          </w:p>
        </w:tc>
        <w:tc>
          <w:tcPr>
            <w:tcW w:w="1000" w:type="pct"/>
            <w:tcBorders>
              <w:top w:val="nil"/>
              <w:left w:val="nil"/>
              <w:bottom w:val="single" w:sz="4" w:space="0" w:color="auto"/>
              <w:right w:val="single" w:sz="4" w:space="0" w:color="auto"/>
            </w:tcBorders>
            <w:shd w:val="clear" w:color="auto" w:fill="auto"/>
            <w:noWrap/>
            <w:vAlign w:val="center"/>
            <w:hideMark/>
          </w:tcPr>
          <w:p w14:paraId="28726E97" w14:textId="77777777" w:rsidR="00E94C25" w:rsidRPr="00E94C25" w:rsidRDefault="00E94C25" w:rsidP="00E94C25">
            <w:pPr>
              <w:jc w:val="center"/>
              <w:rPr>
                <w:rFonts w:ascii="Calibri" w:hAnsi="Calibri"/>
                <w:sz w:val="22"/>
                <w:szCs w:val="22"/>
              </w:rPr>
            </w:pPr>
            <w:r w:rsidRPr="00E94C25">
              <w:rPr>
                <w:rFonts w:ascii="Calibri" w:hAnsi="Calibri"/>
                <w:sz w:val="22"/>
                <w:szCs w:val="22"/>
              </w:rPr>
              <w:t>141.6</w:t>
            </w:r>
          </w:p>
        </w:tc>
      </w:tr>
      <w:tr w:rsidR="00E94C25" w:rsidRPr="00E94C25" w14:paraId="76818DDB" w14:textId="77777777" w:rsidTr="00E94C25">
        <w:trPr>
          <w:trHeight w:val="20"/>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14:paraId="0524C8AA" w14:textId="77777777" w:rsidR="00E94C25" w:rsidRPr="00E94C25" w:rsidRDefault="00E94C25" w:rsidP="00E94C25">
            <w:pPr>
              <w:jc w:val="center"/>
              <w:rPr>
                <w:rFonts w:ascii="Calibri" w:hAnsi="Calibri"/>
                <w:sz w:val="22"/>
                <w:szCs w:val="22"/>
              </w:rPr>
            </w:pPr>
            <w:r w:rsidRPr="00E94C25">
              <w:rPr>
                <w:rFonts w:ascii="Calibri" w:hAnsi="Calibri"/>
                <w:sz w:val="22"/>
                <w:szCs w:val="22"/>
              </w:rPr>
              <w:t>108.6</w:t>
            </w:r>
          </w:p>
        </w:tc>
        <w:tc>
          <w:tcPr>
            <w:tcW w:w="1000" w:type="pct"/>
            <w:tcBorders>
              <w:top w:val="nil"/>
              <w:left w:val="nil"/>
              <w:bottom w:val="single" w:sz="4" w:space="0" w:color="auto"/>
              <w:right w:val="single" w:sz="4" w:space="0" w:color="auto"/>
            </w:tcBorders>
            <w:shd w:val="clear" w:color="auto" w:fill="auto"/>
            <w:noWrap/>
            <w:vAlign w:val="center"/>
            <w:hideMark/>
          </w:tcPr>
          <w:p w14:paraId="6F32E5F1" w14:textId="77777777" w:rsidR="00E94C25" w:rsidRPr="00E94C25" w:rsidRDefault="00E94C25" w:rsidP="00E94C25">
            <w:pPr>
              <w:jc w:val="center"/>
              <w:rPr>
                <w:rFonts w:ascii="Calibri" w:hAnsi="Calibri"/>
                <w:sz w:val="22"/>
                <w:szCs w:val="22"/>
              </w:rPr>
            </w:pPr>
            <w:r w:rsidRPr="00E94C25">
              <w:rPr>
                <w:rFonts w:ascii="Calibri" w:hAnsi="Calibri"/>
                <w:sz w:val="22"/>
                <w:szCs w:val="22"/>
              </w:rPr>
              <w:t>124.8</w:t>
            </w:r>
          </w:p>
        </w:tc>
        <w:tc>
          <w:tcPr>
            <w:tcW w:w="1000" w:type="pct"/>
            <w:tcBorders>
              <w:top w:val="nil"/>
              <w:left w:val="nil"/>
              <w:bottom w:val="single" w:sz="4" w:space="0" w:color="auto"/>
              <w:right w:val="single" w:sz="4" w:space="0" w:color="auto"/>
            </w:tcBorders>
            <w:shd w:val="clear" w:color="auto" w:fill="auto"/>
            <w:noWrap/>
            <w:vAlign w:val="center"/>
            <w:hideMark/>
          </w:tcPr>
          <w:p w14:paraId="0EAC33A2" w14:textId="77777777" w:rsidR="00E94C25" w:rsidRPr="00E94C25" w:rsidRDefault="00E94C25" w:rsidP="00E94C25">
            <w:pPr>
              <w:jc w:val="center"/>
              <w:rPr>
                <w:rFonts w:ascii="Calibri" w:hAnsi="Calibri"/>
                <w:sz w:val="22"/>
                <w:szCs w:val="22"/>
              </w:rPr>
            </w:pPr>
            <w:r w:rsidRPr="00E94C25">
              <w:rPr>
                <w:rFonts w:ascii="Calibri" w:hAnsi="Calibri"/>
                <w:sz w:val="22"/>
                <w:szCs w:val="22"/>
              </w:rPr>
              <w:t>130.6</w:t>
            </w:r>
          </w:p>
        </w:tc>
        <w:tc>
          <w:tcPr>
            <w:tcW w:w="1000" w:type="pct"/>
            <w:tcBorders>
              <w:top w:val="nil"/>
              <w:left w:val="nil"/>
              <w:bottom w:val="single" w:sz="4" w:space="0" w:color="auto"/>
              <w:right w:val="single" w:sz="4" w:space="0" w:color="auto"/>
            </w:tcBorders>
            <w:shd w:val="clear" w:color="auto" w:fill="auto"/>
            <w:noWrap/>
            <w:vAlign w:val="center"/>
            <w:hideMark/>
          </w:tcPr>
          <w:p w14:paraId="7F4582AC" w14:textId="77777777" w:rsidR="00E94C25" w:rsidRPr="00E94C25" w:rsidRDefault="00E94C25" w:rsidP="00E94C25">
            <w:pPr>
              <w:jc w:val="center"/>
              <w:rPr>
                <w:rFonts w:ascii="Calibri" w:hAnsi="Calibri"/>
                <w:sz w:val="22"/>
                <w:szCs w:val="22"/>
              </w:rPr>
            </w:pPr>
            <w:r w:rsidRPr="00E94C25">
              <w:rPr>
                <w:rFonts w:ascii="Calibri" w:hAnsi="Calibri"/>
                <w:sz w:val="22"/>
                <w:szCs w:val="22"/>
              </w:rPr>
              <w:t>135.4</w:t>
            </w:r>
          </w:p>
        </w:tc>
        <w:tc>
          <w:tcPr>
            <w:tcW w:w="1000" w:type="pct"/>
            <w:tcBorders>
              <w:top w:val="nil"/>
              <w:left w:val="nil"/>
              <w:bottom w:val="single" w:sz="4" w:space="0" w:color="auto"/>
              <w:right w:val="single" w:sz="4" w:space="0" w:color="auto"/>
            </w:tcBorders>
            <w:shd w:val="clear" w:color="auto" w:fill="auto"/>
            <w:noWrap/>
            <w:vAlign w:val="center"/>
            <w:hideMark/>
          </w:tcPr>
          <w:p w14:paraId="28B302DD" w14:textId="77777777" w:rsidR="00E94C25" w:rsidRPr="00E94C25" w:rsidRDefault="00E94C25" w:rsidP="00E94C25">
            <w:pPr>
              <w:jc w:val="center"/>
              <w:rPr>
                <w:rFonts w:ascii="Calibri" w:hAnsi="Calibri"/>
                <w:sz w:val="22"/>
                <w:szCs w:val="22"/>
              </w:rPr>
            </w:pPr>
            <w:r w:rsidRPr="00E94C25">
              <w:rPr>
                <w:rFonts w:ascii="Calibri" w:hAnsi="Calibri"/>
                <w:sz w:val="22"/>
                <w:szCs w:val="22"/>
              </w:rPr>
              <w:t>143.1</w:t>
            </w:r>
          </w:p>
        </w:tc>
      </w:tr>
    </w:tbl>
    <w:p w14:paraId="204B6022" w14:textId="3B2FB860" w:rsidR="004B5D92" w:rsidRDefault="004B5D92" w:rsidP="00177B9F">
      <w:pPr>
        <w:rPr>
          <w:rFonts w:ascii="Arial" w:hAnsi="Arial" w:cs="Arial"/>
          <w:sz w:val="20"/>
          <w:szCs w:val="20"/>
        </w:rPr>
      </w:pPr>
    </w:p>
    <w:p w14:paraId="30C0FD30" w14:textId="77777777" w:rsidR="00E94C25" w:rsidRDefault="00E94C25" w:rsidP="00177B9F">
      <w:pPr>
        <w:rPr>
          <w:rFonts w:ascii="Arial" w:hAnsi="Arial" w:cs="Arial"/>
          <w:sz w:val="20"/>
          <w:szCs w:val="20"/>
        </w:rPr>
      </w:pPr>
    </w:p>
    <w:p w14:paraId="3A8FE62D" w14:textId="034C471E" w:rsidR="004306C2" w:rsidRPr="00B0079A" w:rsidRDefault="004306C2" w:rsidP="00177B9F">
      <w:pPr>
        <w:rPr>
          <w:rFonts w:ascii="Arial" w:hAnsi="Arial" w:cs="Arial"/>
          <w:sz w:val="20"/>
          <w:szCs w:val="20"/>
        </w:rPr>
      </w:pPr>
      <w:r w:rsidRPr="0026745F">
        <w:rPr>
          <w:rFonts w:ascii="Arial" w:hAnsi="Arial" w:cs="Arial"/>
          <w:b/>
          <w:sz w:val="20"/>
          <w:szCs w:val="20"/>
        </w:rPr>
        <w:t>Linear Fluorescen</w:t>
      </w:r>
      <w:r w:rsidR="0026745F" w:rsidRPr="0026745F">
        <w:rPr>
          <w:rFonts w:ascii="Arial" w:hAnsi="Arial" w:cs="Arial"/>
          <w:b/>
          <w:sz w:val="20"/>
          <w:szCs w:val="20"/>
        </w:rPr>
        <w:t>t:</w:t>
      </w:r>
      <w:r w:rsidR="0026745F">
        <w:rPr>
          <w:rFonts w:ascii="Arial" w:hAnsi="Arial" w:cs="Arial"/>
          <w:sz w:val="20"/>
          <w:szCs w:val="20"/>
        </w:rPr>
        <w:t xml:space="preserve">  The wattages used are from Appendix B Standard Fixture Wattages.  It is assumed to </w:t>
      </w:r>
      <w:r w:rsidR="0026745F" w:rsidRPr="00B0079A">
        <w:rPr>
          <w:rFonts w:ascii="Arial" w:hAnsi="Arial" w:cs="Arial"/>
          <w:sz w:val="20"/>
          <w:szCs w:val="20"/>
        </w:rPr>
        <w:t>use HPT8 lamps (3050 lumens per Federal Standards) with a ballast factor of 1.15.</w:t>
      </w:r>
    </w:p>
    <w:p w14:paraId="5E03C86F" w14:textId="23C0028B" w:rsidR="00B00EC3" w:rsidRPr="00B0079A" w:rsidRDefault="00B00EC3" w:rsidP="006E3439">
      <w:pPr>
        <w:rPr>
          <w:rFonts w:ascii="Arial" w:hAnsi="Arial" w:cs="Arial"/>
          <w:sz w:val="20"/>
          <w:szCs w:val="20"/>
        </w:rPr>
      </w:pPr>
    </w:p>
    <w:p w14:paraId="182E5A7A" w14:textId="19332317" w:rsidR="00B0079A" w:rsidRDefault="00B0079A" w:rsidP="006E3439">
      <w:pPr>
        <w:rPr>
          <w:rFonts w:ascii="Arial" w:hAnsi="Arial" w:cs="Arial"/>
          <w:sz w:val="20"/>
          <w:szCs w:val="20"/>
        </w:rPr>
      </w:pPr>
      <w:r w:rsidRPr="00B0079A">
        <w:rPr>
          <w:rFonts w:ascii="Arial" w:hAnsi="Arial" w:cs="Arial"/>
          <w:b/>
          <w:sz w:val="20"/>
          <w:szCs w:val="20"/>
        </w:rPr>
        <w:t>Measure Structure</w:t>
      </w:r>
      <w:r w:rsidR="007E059E">
        <w:rPr>
          <w:rFonts w:ascii="Arial" w:hAnsi="Arial" w:cs="Arial"/>
          <w:b/>
          <w:sz w:val="20"/>
          <w:szCs w:val="20"/>
        </w:rPr>
        <w:t xml:space="preserve">:  </w:t>
      </w:r>
      <w:r w:rsidR="007E059E">
        <w:rPr>
          <w:rFonts w:ascii="Arial" w:hAnsi="Arial" w:cs="Arial"/>
          <w:sz w:val="20"/>
          <w:szCs w:val="20"/>
        </w:rPr>
        <w:t>The current measure structure uses the wattage bin as structured from the previous revision (</w:t>
      </w:r>
      <w:r w:rsidR="007E059E" w:rsidRPr="007E059E">
        <w:rPr>
          <w:rFonts w:ascii="Arial" w:hAnsi="Arial" w:cs="Arial"/>
          <w:sz w:val="20"/>
          <w:szCs w:val="20"/>
        </w:rPr>
        <w:t>R2) of the workpaper.  For the future update of the workpaper, per kilolumen and lumen bins will be investigated.  There are, however, challenges with the kilolumen structure:</w:t>
      </w:r>
    </w:p>
    <w:p w14:paraId="59D5EA9E" w14:textId="77777777" w:rsidR="00661E36" w:rsidRPr="007E059E" w:rsidRDefault="00661E36" w:rsidP="006E3439">
      <w:pPr>
        <w:rPr>
          <w:rFonts w:ascii="Arial" w:hAnsi="Arial" w:cs="Arial"/>
          <w:sz w:val="20"/>
          <w:szCs w:val="20"/>
        </w:rPr>
      </w:pPr>
    </w:p>
    <w:p w14:paraId="40C4A972" w14:textId="77777777" w:rsidR="007E059E" w:rsidRPr="00661E36" w:rsidRDefault="007E059E" w:rsidP="006666F0">
      <w:pPr>
        <w:pStyle w:val="ListParagraph"/>
        <w:numPr>
          <w:ilvl w:val="0"/>
          <w:numId w:val="23"/>
        </w:numPr>
        <w:rPr>
          <w:rFonts w:ascii="Arial" w:hAnsi="Arial" w:cs="Arial"/>
          <w:b/>
          <w:sz w:val="20"/>
          <w:szCs w:val="20"/>
        </w:rPr>
      </w:pPr>
      <w:r w:rsidRPr="00661E36">
        <w:rPr>
          <w:rFonts w:ascii="Arial" w:hAnsi="Arial" w:cs="Arial"/>
          <w:b/>
          <w:sz w:val="20"/>
          <w:szCs w:val="20"/>
        </w:rPr>
        <w:t>Setting constant per-kilolumen LED costs across a wide range from 4.5 to 160 kilolumens given market efficiencies of scale</w:t>
      </w:r>
    </w:p>
    <w:p w14:paraId="53A543C5" w14:textId="77777777" w:rsidR="007E059E" w:rsidRPr="007E059E" w:rsidRDefault="007E059E" w:rsidP="006666F0">
      <w:pPr>
        <w:pStyle w:val="ListParagraph"/>
        <w:numPr>
          <w:ilvl w:val="0"/>
          <w:numId w:val="24"/>
        </w:numPr>
        <w:rPr>
          <w:rFonts w:ascii="Arial" w:eastAsiaTheme="minorEastAsia" w:hAnsi="Arial"/>
          <w:sz w:val="20"/>
        </w:rPr>
      </w:pPr>
      <w:r w:rsidRPr="1AA8F051">
        <w:rPr>
          <w:rFonts w:ascii="Arial" w:eastAsiaTheme="minorEastAsia" w:hAnsi="Arial"/>
          <w:sz w:val="20"/>
        </w:rPr>
        <w:t>High-bay products range across a light-output factor of 30, which makes for a poor fit with the per-kilolumen approach. The LED ambient fixtures workpaper (PGECOLTG179) was limited to a range of less than a factor of 3 in light output.</w:t>
      </w:r>
    </w:p>
    <w:p w14:paraId="0625AFBE" w14:textId="1388D27E" w:rsidR="007E059E" w:rsidRDefault="007E059E" w:rsidP="006666F0">
      <w:pPr>
        <w:pStyle w:val="ListParagraph"/>
        <w:numPr>
          <w:ilvl w:val="0"/>
          <w:numId w:val="24"/>
        </w:numPr>
        <w:rPr>
          <w:rFonts w:ascii="Arial" w:eastAsiaTheme="minorEastAsia" w:hAnsi="Arial"/>
          <w:sz w:val="20"/>
        </w:rPr>
      </w:pPr>
      <w:r w:rsidRPr="007E059E">
        <w:rPr>
          <w:rFonts w:ascii="Arial" w:hAnsi="Arial" w:cs="Arial"/>
          <w:sz w:val="20"/>
          <w:szCs w:val="20"/>
        </w:rPr>
        <w:t>T</w:t>
      </w:r>
      <w:r w:rsidRPr="1AA8F051">
        <w:rPr>
          <w:rFonts w:ascii="Arial" w:eastAsiaTheme="minorEastAsia" w:hAnsi="Arial"/>
          <w:sz w:val="20"/>
        </w:rPr>
        <w:t xml:space="preserve">he table of kilolumen measures below show a blended base cost of $18 per kilolumen. However, multiplying this by the extremes of the kilolumen range (4.5 and 90) to obtain yields </w:t>
      </w:r>
      <w:r w:rsidRPr="1AA8F051">
        <w:rPr>
          <w:rFonts w:ascii="Arial" w:eastAsiaTheme="minorEastAsia" w:hAnsi="Arial"/>
          <w:sz w:val="20"/>
        </w:rPr>
        <w:lastRenderedPageBreak/>
        <w:t>base case costs at $80 and $1600 per fixture.  Compared with actual fixture prices, these are too low and too high, respectively, due to the assumption of constant cost per kilolumen.</w:t>
      </w:r>
    </w:p>
    <w:p w14:paraId="02FFD8A9" w14:textId="77777777" w:rsidR="007E059E" w:rsidRPr="007E059E" w:rsidRDefault="007E059E" w:rsidP="007E059E">
      <w:pPr>
        <w:pStyle w:val="ListParagraph"/>
        <w:ind w:left="1080"/>
        <w:rPr>
          <w:rFonts w:ascii="Arial" w:eastAsiaTheme="minorHAnsi" w:hAnsi="Arial" w:cs="Arial"/>
          <w:sz w:val="20"/>
          <w:szCs w:val="20"/>
        </w:rPr>
      </w:pPr>
    </w:p>
    <w:p w14:paraId="4DBC5FBD" w14:textId="0980BFB7" w:rsidR="00047009" w:rsidRDefault="00047009" w:rsidP="00047009">
      <w:pPr>
        <w:pStyle w:val="Caption"/>
        <w:keepNext/>
        <w:jc w:val="center"/>
      </w:pPr>
      <w:bookmarkStart w:id="131" w:name="_Toc511244277"/>
      <w:bookmarkStart w:id="132" w:name="_Toc511244302"/>
      <w:bookmarkStart w:id="133" w:name="_Toc511244921"/>
      <w:r>
        <w:t xml:space="preserve">Table </w:t>
      </w:r>
      <w:r w:rsidR="00C426D4">
        <w:fldChar w:fldCharType="begin"/>
      </w:r>
      <w:r w:rsidR="00C426D4">
        <w:instrText xml:space="preserve"> SEQ Table \* ARABIC </w:instrText>
      </w:r>
      <w:r w:rsidR="00C426D4">
        <w:fldChar w:fldCharType="separate"/>
      </w:r>
      <w:r w:rsidR="00E94C25">
        <w:rPr>
          <w:noProof/>
        </w:rPr>
        <w:t>12</w:t>
      </w:r>
      <w:r w:rsidR="00C426D4">
        <w:rPr>
          <w:noProof/>
        </w:rPr>
        <w:fldChar w:fldCharType="end"/>
      </w:r>
      <w:r>
        <w:t xml:space="preserve"> Using Kilolumen Structure Cost Impacts</w:t>
      </w:r>
      <w:bookmarkEnd w:id="131"/>
      <w:bookmarkEnd w:id="132"/>
      <w:bookmarkEnd w:id="133"/>
    </w:p>
    <w:tbl>
      <w:tblPr>
        <w:tblW w:w="8152" w:type="dxa"/>
        <w:tblInd w:w="1326" w:type="dxa"/>
        <w:tblCellMar>
          <w:left w:w="0" w:type="dxa"/>
          <w:right w:w="0" w:type="dxa"/>
        </w:tblCellMar>
        <w:tblLook w:val="04A0" w:firstRow="1" w:lastRow="0" w:firstColumn="1" w:lastColumn="0" w:noHBand="0" w:noVBand="1"/>
      </w:tblPr>
      <w:tblGrid>
        <w:gridCol w:w="1183"/>
        <w:gridCol w:w="1168"/>
        <w:gridCol w:w="634"/>
        <w:gridCol w:w="855"/>
        <w:gridCol w:w="936"/>
        <w:gridCol w:w="1285"/>
        <w:gridCol w:w="993"/>
        <w:gridCol w:w="1098"/>
      </w:tblGrid>
      <w:tr w:rsidR="007E059E" w:rsidRPr="007E059E" w14:paraId="5C6069F1" w14:textId="77777777" w:rsidTr="00047009">
        <w:trPr>
          <w:trHeight w:val="288"/>
        </w:trPr>
        <w:tc>
          <w:tcPr>
            <w:tcW w:w="118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F196F3"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Per Kilolumen Measure</w:t>
            </w:r>
          </w:p>
        </w:tc>
        <w:tc>
          <w:tcPr>
            <w:tcW w:w="1168" w:type="dxa"/>
            <w:tcBorders>
              <w:top w:val="single" w:sz="8" w:space="0" w:color="auto"/>
              <w:left w:val="nil"/>
              <w:bottom w:val="single" w:sz="8" w:space="0" w:color="auto"/>
              <w:right w:val="single" w:sz="4" w:space="0" w:color="auto"/>
            </w:tcBorders>
            <w:noWrap/>
            <w:tcMar>
              <w:top w:w="0" w:type="dxa"/>
              <w:left w:w="108" w:type="dxa"/>
              <w:bottom w:w="0" w:type="dxa"/>
              <w:right w:w="108" w:type="dxa"/>
            </w:tcMar>
            <w:vAlign w:val="center"/>
            <w:hideMark/>
          </w:tcPr>
          <w:p w14:paraId="5E38D0CD"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Efficacy Tier</w:t>
            </w:r>
          </w:p>
        </w:tc>
        <w:tc>
          <w:tcPr>
            <w:tcW w:w="634" w:type="dxa"/>
            <w:tcBorders>
              <w:top w:val="single" w:sz="4" w:space="0" w:color="auto"/>
              <w:left w:val="single" w:sz="4" w:space="0" w:color="auto"/>
              <w:bottom w:val="single" w:sz="4" w:space="0" w:color="auto"/>
              <w:right w:val="single" w:sz="4" w:space="0" w:color="auto"/>
            </w:tcBorders>
            <w:vAlign w:val="center"/>
          </w:tcPr>
          <w:p w14:paraId="44AF3139" w14:textId="77777777" w:rsidR="007E059E" w:rsidRPr="007E059E" w:rsidRDefault="007E059E" w:rsidP="00047009">
            <w:pPr>
              <w:jc w:val="center"/>
              <w:rPr>
                <w:rFonts w:ascii="Arial" w:hAnsi="Arial" w:cs="Arial"/>
                <w:b/>
                <w:bCs/>
                <w:color w:val="000000"/>
                <w:sz w:val="20"/>
                <w:szCs w:val="20"/>
              </w:rPr>
            </w:pPr>
            <w:r w:rsidRPr="007E059E">
              <w:rPr>
                <w:rFonts w:ascii="Arial" w:hAnsi="Arial" w:cs="Arial"/>
                <w:sz w:val="20"/>
                <w:szCs w:val="20"/>
              </w:rPr>
              <w:t>Base W/klm</w:t>
            </w:r>
          </w:p>
        </w:tc>
        <w:tc>
          <w:tcPr>
            <w:tcW w:w="855" w:type="dxa"/>
            <w:tcBorders>
              <w:top w:val="single" w:sz="8" w:space="0" w:color="auto"/>
              <w:left w:val="single" w:sz="4" w:space="0" w:color="auto"/>
              <w:bottom w:val="single" w:sz="8" w:space="0" w:color="auto"/>
              <w:right w:val="single" w:sz="8" w:space="0" w:color="auto"/>
            </w:tcBorders>
            <w:vAlign w:val="center"/>
          </w:tcPr>
          <w:p w14:paraId="10002F00" w14:textId="77777777" w:rsidR="007E059E" w:rsidRPr="007E059E" w:rsidRDefault="007E059E" w:rsidP="00047009">
            <w:pPr>
              <w:jc w:val="center"/>
              <w:rPr>
                <w:rFonts w:ascii="Arial" w:hAnsi="Arial" w:cs="Arial"/>
                <w:b/>
                <w:bCs/>
                <w:color w:val="000000"/>
                <w:sz w:val="20"/>
                <w:szCs w:val="20"/>
              </w:rPr>
            </w:pPr>
            <w:r w:rsidRPr="007E059E">
              <w:rPr>
                <w:rFonts w:ascii="Arial" w:hAnsi="Arial" w:cs="Arial"/>
                <w:sz w:val="20"/>
                <w:szCs w:val="20"/>
              </w:rPr>
              <w:t>Measure W</w:t>
            </w:r>
          </w:p>
        </w:tc>
        <w:tc>
          <w:tcPr>
            <w:tcW w:w="9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217DDED"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ΔW</w:t>
            </w:r>
          </w:p>
        </w:tc>
        <w:tc>
          <w:tcPr>
            <w:tcW w:w="1285" w:type="dxa"/>
            <w:tcBorders>
              <w:top w:val="single" w:sz="8" w:space="0" w:color="auto"/>
              <w:left w:val="nil"/>
              <w:bottom w:val="single" w:sz="8" w:space="0" w:color="auto"/>
              <w:right w:val="single" w:sz="8" w:space="0" w:color="auto"/>
            </w:tcBorders>
            <w:vAlign w:val="center"/>
          </w:tcPr>
          <w:p w14:paraId="18A9BF84" w14:textId="77777777" w:rsidR="007E059E" w:rsidRPr="007E059E" w:rsidRDefault="007E059E" w:rsidP="00047009">
            <w:pPr>
              <w:jc w:val="center"/>
              <w:rPr>
                <w:rFonts w:ascii="Arial" w:hAnsi="Arial" w:cs="Arial"/>
                <w:b/>
                <w:bCs/>
                <w:color w:val="000000"/>
                <w:sz w:val="20"/>
                <w:szCs w:val="20"/>
              </w:rPr>
            </w:pPr>
            <w:r w:rsidRPr="007E059E">
              <w:rPr>
                <w:rFonts w:ascii="Arial" w:hAnsi="Arial" w:cs="Arial"/>
                <w:sz w:val="20"/>
                <w:szCs w:val="20"/>
              </w:rPr>
              <w:t>Blended Base Cost [$/ kilolumen]</w:t>
            </w:r>
          </w:p>
        </w:tc>
        <w:tc>
          <w:tcPr>
            <w:tcW w:w="993" w:type="dxa"/>
            <w:tcBorders>
              <w:top w:val="single" w:sz="8" w:space="0" w:color="auto"/>
              <w:left w:val="nil"/>
              <w:bottom w:val="single" w:sz="8" w:space="0" w:color="auto"/>
              <w:right w:val="single" w:sz="8" w:space="0" w:color="auto"/>
            </w:tcBorders>
            <w:vAlign w:val="center"/>
          </w:tcPr>
          <w:p w14:paraId="4324EC84" w14:textId="77777777" w:rsidR="007E059E" w:rsidRPr="007E059E" w:rsidRDefault="007E059E" w:rsidP="00047009">
            <w:pPr>
              <w:jc w:val="center"/>
              <w:rPr>
                <w:rFonts w:ascii="Arial" w:hAnsi="Arial" w:cs="Arial"/>
                <w:b/>
                <w:bCs/>
                <w:color w:val="000000"/>
                <w:sz w:val="20"/>
                <w:szCs w:val="20"/>
              </w:rPr>
            </w:pPr>
            <w:r w:rsidRPr="007E059E">
              <w:rPr>
                <w:rFonts w:ascii="Arial" w:hAnsi="Arial" w:cs="Arial"/>
                <w:sz w:val="20"/>
                <w:szCs w:val="20"/>
              </w:rPr>
              <w:t>Measure Cost [$/ kilolumen]</w:t>
            </w:r>
          </w:p>
        </w:tc>
        <w:tc>
          <w:tcPr>
            <w:tcW w:w="1098" w:type="dxa"/>
            <w:tcBorders>
              <w:top w:val="single" w:sz="8" w:space="0" w:color="auto"/>
              <w:left w:val="nil"/>
              <w:bottom w:val="single" w:sz="8" w:space="0" w:color="auto"/>
              <w:right w:val="single" w:sz="8" w:space="0" w:color="auto"/>
            </w:tcBorders>
            <w:vAlign w:val="center"/>
          </w:tcPr>
          <w:p w14:paraId="7A925B51" w14:textId="77777777" w:rsidR="007E059E" w:rsidRPr="007E059E" w:rsidRDefault="007E059E" w:rsidP="00047009">
            <w:pPr>
              <w:jc w:val="center"/>
              <w:rPr>
                <w:rFonts w:ascii="Arial" w:hAnsi="Arial" w:cs="Arial"/>
                <w:b/>
                <w:sz w:val="20"/>
                <w:szCs w:val="20"/>
              </w:rPr>
            </w:pPr>
            <w:r w:rsidRPr="007E059E">
              <w:rPr>
                <w:rFonts w:ascii="Arial" w:hAnsi="Arial" w:cs="Arial"/>
                <w:b/>
                <w:sz w:val="20"/>
                <w:szCs w:val="20"/>
              </w:rPr>
              <w:t>Fixture Cost at 4.5-90 Kilolumens</w:t>
            </w:r>
          </w:p>
          <w:p w14:paraId="5BC62AAF" w14:textId="77777777" w:rsidR="007E059E" w:rsidRPr="007E059E" w:rsidRDefault="007E059E" w:rsidP="00047009">
            <w:pPr>
              <w:jc w:val="center"/>
              <w:rPr>
                <w:rFonts w:ascii="Arial" w:hAnsi="Arial" w:cs="Arial"/>
                <w:b/>
                <w:sz w:val="20"/>
                <w:szCs w:val="20"/>
              </w:rPr>
            </w:pPr>
            <w:r w:rsidRPr="007E059E">
              <w:rPr>
                <w:rFonts w:ascii="Arial" w:hAnsi="Arial" w:cs="Arial"/>
                <w:b/>
                <w:sz w:val="20"/>
                <w:szCs w:val="20"/>
              </w:rPr>
              <w:t>($/fixture)</w:t>
            </w:r>
          </w:p>
        </w:tc>
      </w:tr>
      <w:tr w:rsidR="007E059E" w:rsidRPr="007E059E" w14:paraId="2D4293DA" w14:textId="77777777" w:rsidTr="00047009">
        <w:trPr>
          <w:trHeight w:val="288"/>
        </w:trPr>
        <w:tc>
          <w:tcPr>
            <w:tcW w:w="1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9CD31BE"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1</w:t>
            </w:r>
          </w:p>
        </w:tc>
        <w:tc>
          <w:tcPr>
            <w:tcW w:w="1168" w:type="dxa"/>
            <w:tcBorders>
              <w:top w:val="nil"/>
              <w:left w:val="nil"/>
              <w:bottom w:val="single" w:sz="8" w:space="0" w:color="auto"/>
              <w:right w:val="single" w:sz="4" w:space="0" w:color="auto"/>
            </w:tcBorders>
            <w:noWrap/>
            <w:tcMar>
              <w:top w:w="0" w:type="dxa"/>
              <w:left w:w="108" w:type="dxa"/>
              <w:bottom w:w="0" w:type="dxa"/>
              <w:right w:w="108" w:type="dxa"/>
            </w:tcMar>
            <w:vAlign w:val="center"/>
            <w:hideMark/>
          </w:tcPr>
          <w:p w14:paraId="4FFA3524"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130 LPW</w:t>
            </w:r>
          </w:p>
        </w:tc>
        <w:tc>
          <w:tcPr>
            <w:tcW w:w="634" w:type="dxa"/>
            <w:tcBorders>
              <w:top w:val="single" w:sz="4" w:space="0" w:color="auto"/>
              <w:left w:val="single" w:sz="4" w:space="0" w:color="auto"/>
              <w:bottom w:val="single" w:sz="4" w:space="0" w:color="auto"/>
              <w:right w:val="single" w:sz="4" w:space="0" w:color="auto"/>
            </w:tcBorders>
            <w:vAlign w:val="center"/>
          </w:tcPr>
          <w:p w14:paraId="4CD58E4E"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11.07</w:t>
            </w:r>
          </w:p>
        </w:tc>
        <w:tc>
          <w:tcPr>
            <w:tcW w:w="855" w:type="dxa"/>
            <w:tcBorders>
              <w:top w:val="nil"/>
              <w:left w:val="single" w:sz="4" w:space="0" w:color="auto"/>
              <w:bottom w:val="single" w:sz="8" w:space="0" w:color="auto"/>
              <w:right w:val="single" w:sz="8" w:space="0" w:color="auto"/>
            </w:tcBorders>
            <w:vAlign w:val="center"/>
          </w:tcPr>
          <w:p w14:paraId="37C11337"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7.69</w:t>
            </w:r>
          </w:p>
        </w:tc>
        <w:tc>
          <w:tcPr>
            <w:tcW w:w="9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0AE666"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3.38</w:t>
            </w:r>
          </w:p>
        </w:tc>
        <w:tc>
          <w:tcPr>
            <w:tcW w:w="1285" w:type="dxa"/>
            <w:tcBorders>
              <w:top w:val="nil"/>
              <w:left w:val="nil"/>
              <w:bottom w:val="single" w:sz="8" w:space="0" w:color="auto"/>
              <w:right w:val="single" w:sz="8" w:space="0" w:color="auto"/>
            </w:tcBorders>
            <w:vAlign w:val="center"/>
          </w:tcPr>
          <w:p w14:paraId="0E357A20" w14:textId="415C09F9"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$17.70</w:t>
            </w:r>
          </w:p>
        </w:tc>
        <w:tc>
          <w:tcPr>
            <w:tcW w:w="993" w:type="dxa"/>
            <w:tcBorders>
              <w:top w:val="nil"/>
              <w:left w:val="nil"/>
              <w:bottom w:val="single" w:sz="8" w:space="0" w:color="auto"/>
              <w:right w:val="single" w:sz="8" w:space="0" w:color="auto"/>
            </w:tcBorders>
            <w:vAlign w:val="center"/>
          </w:tcPr>
          <w:p w14:paraId="349AD167" w14:textId="6A55BE31"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$20.04</w:t>
            </w:r>
          </w:p>
        </w:tc>
        <w:tc>
          <w:tcPr>
            <w:tcW w:w="1098" w:type="dxa"/>
            <w:tcBorders>
              <w:top w:val="nil"/>
              <w:left w:val="nil"/>
              <w:bottom w:val="single" w:sz="8" w:space="0" w:color="auto"/>
              <w:right w:val="single" w:sz="8" w:space="0" w:color="auto"/>
            </w:tcBorders>
            <w:vAlign w:val="center"/>
          </w:tcPr>
          <w:p w14:paraId="3260239A" w14:textId="77777777" w:rsidR="007E059E" w:rsidRPr="007E059E" w:rsidRDefault="007E059E" w:rsidP="00047009">
            <w:pPr>
              <w:jc w:val="center"/>
              <w:rPr>
                <w:rFonts w:ascii="Arial" w:hAnsi="Arial" w:cs="Arial"/>
                <w:b/>
                <w:sz w:val="20"/>
                <w:szCs w:val="20"/>
              </w:rPr>
            </w:pPr>
            <w:r w:rsidRPr="007E059E">
              <w:rPr>
                <w:rFonts w:ascii="Arial" w:hAnsi="Arial" w:cs="Arial"/>
                <w:b/>
                <w:sz w:val="20"/>
                <w:szCs w:val="20"/>
              </w:rPr>
              <w:t>$90-$1800</w:t>
            </w:r>
          </w:p>
        </w:tc>
      </w:tr>
      <w:tr w:rsidR="007E059E" w:rsidRPr="007E059E" w14:paraId="18ED5FAF" w14:textId="77777777" w:rsidTr="00047009">
        <w:trPr>
          <w:trHeight w:val="288"/>
        </w:trPr>
        <w:tc>
          <w:tcPr>
            <w:tcW w:w="1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2EE1EB"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2</w:t>
            </w:r>
          </w:p>
        </w:tc>
        <w:tc>
          <w:tcPr>
            <w:tcW w:w="1168" w:type="dxa"/>
            <w:tcBorders>
              <w:top w:val="nil"/>
              <w:left w:val="nil"/>
              <w:bottom w:val="single" w:sz="8" w:space="0" w:color="auto"/>
              <w:right w:val="single" w:sz="4" w:space="0" w:color="auto"/>
            </w:tcBorders>
            <w:noWrap/>
            <w:tcMar>
              <w:top w:w="0" w:type="dxa"/>
              <w:left w:w="108" w:type="dxa"/>
              <w:bottom w:w="0" w:type="dxa"/>
              <w:right w:w="108" w:type="dxa"/>
            </w:tcMar>
            <w:vAlign w:val="center"/>
            <w:hideMark/>
          </w:tcPr>
          <w:p w14:paraId="179DD867"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140 LPW</w:t>
            </w:r>
          </w:p>
        </w:tc>
        <w:tc>
          <w:tcPr>
            <w:tcW w:w="634" w:type="dxa"/>
            <w:tcBorders>
              <w:top w:val="single" w:sz="4" w:space="0" w:color="auto"/>
              <w:left w:val="single" w:sz="4" w:space="0" w:color="auto"/>
              <w:bottom w:val="single" w:sz="4" w:space="0" w:color="auto"/>
              <w:right w:val="single" w:sz="4" w:space="0" w:color="auto"/>
            </w:tcBorders>
            <w:vAlign w:val="center"/>
          </w:tcPr>
          <w:p w14:paraId="1D83ADC7"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11.07</w:t>
            </w:r>
          </w:p>
        </w:tc>
        <w:tc>
          <w:tcPr>
            <w:tcW w:w="855" w:type="dxa"/>
            <w:tcBorders>
              <w:top w:val="nil"/>
              <w:left w:val="single" w:sz="4" w:space="0" w:color="auto"/>
              <w:bottom w:val="single" w:sz="8" w:space="0" w:color="auto"/>
              <w:right w:val="single" w:sz="8" w:space="0" w:color="auto"/>
            </w:tcBorders>
            <w:vAlign w:val="center"/>
          </w:tcPr>
          <w:p w14:paraId="5FAE7446"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7.14</w:t>
            </w:r>
          </w:p>
        </w:tc>
        <w:tc>
          <w:tcPr>
            <w:tcW w:w="9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AF781F"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3.93</w:t>
            </w:r>
          </w:p>
        </w:tc>
        <w:tc>
          <w:tcPr>
            <w:tcW w:w="1285" w:type="dxa"/>
            <w:tcBorders>
              <w:top w:val="nil"/>
              <w:left w:val="nil"/>
              <w:bottom w:val="single" w:sz="8" w:space="0" w:color="auto"/>
              <w:right w:val="single" w:sz="8" w:space="0" w:color="auto"/>
            </w:tcBorders>
            <w:vAlign w:val="center"/>
          </w:tcPr>
          <w:p w14:paraId="60A01D2B" w14:textId="00DA4EE8"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$17.70</w:t>
            </w:r>
          </w:p>
        </w:tc>
        <w:tc>
          <w:tcPr>
            <w:tcW w:w="993" w:type="dxa"/>
            <w:tcBorders>
              <w:top w:val="nil"/>
              <w:left w:val="nil"/>
              <w:bottom w:val="single" w:sz="8" w:space="0" w:color="auto"/>
              <w:right w:val="single" w:sz="8" w:space="0" w:color="auto"/>
            </w:tcBorders>
            <w:vAlign w:val="center"/>
          </w:tcPr>
          <w:p w14:paraId="798BE7A3" w14:textId="116E0D60"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$22.42</w:t>
            </w:r>
          </w:p>
        </w:tc>
        <w:tc>
          <w:tcPr>
            <w:tcW w:w="1098" w:type="dxa"/>
            <w:tcBorders>
              <w:top w:val="nil"/>
              <w:left w:val="nil"/>
              <w:bottom w:val="single" w:sz="8" w:space="0" w:color="auto"/>
              <w:right w:val="single" w:sz="8" w:space="0" w:color="auto"/>
            </w:tcBorders>
            <w:vAlign w:val="center"/>
          </w:tcPr>
          <w:p w14:paraId="0742636F" w14:textId="77777777" w:rsidR="007E059E" w:rsidRPr="007E059E" w:rsidRDefault="007E059E" w:rsidP="00047009">
            <w:pPr>
              <w:jc w:val="center"/>
              <w:rPr>
                <w:rFonts w:ascii="Arial" w:hAnsi="Arial" w:cs="Arial"/>
                <w:b/>
                <w:sz w:val="20"/>
                <w:szCs w:val="20"/>
              </w:rPr>
            </w:pPr>
            <w:r w:rsidRPr="007E059E">
              <w:rPr>
                <w:rFonts w:ascii="Arial" w:hAnsi="Arial" w:cs="Arial"/>
                <w:b/>
                <w:sz w:val="20"/>
                <w:szCs w:val="20"/>
              </w:rPr>
              <w:t>$101-$2018</w:t>
            </w:r>
          </w:p>
        </w:tc>
      </w:tr>
      <w:tr w:rsidR="007E059E" w:rsidRPr="007E059E" w14:paraId="1782D494" w14:textId="77777777" w:rsidTr="00047009">
        <w:trPr>
          <w:trHeight w:val="288"/>
        </w:trPr>
        <w:tc>
          <w:tcPr>
            <w:tcW w:w="1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57C858D"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3</w:t>
            </w:r>
          </w:p>
        </w:tc>
        <w:tc>
          <w:tcPr>
            <w:tcW w:w="1168" w:type="dxa"/>
            <w:tcBorders>
              <w:top w:val="nil"/>
              <w:left w:val="nil"/>
              <w:bottom w:val="single" w:sz="8" w:space="0" w:color="auto"/>
              <w:right w:val="single" w:sz="4" w:space="0" w:color="auto"/>
            </w:tcBorders>
            <w:noWrap/>
            <w:tcMar>
              <w:top w:w="0" w:type="dxa"/>
              <w:left w:w="108" w:type="dxa"/>
              <w:bottom w:w="0" w:type="dxa"/>
              <w:right w:w="108" w:type="dxa"/>
            </w:tcMar>
            <w:vAlign w:val="center"/>
            <w:hideMark/>
          </w:tcPr>
          <w:p w14:paraId="751C6F46"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150 LPW</w:t>
            </w:r>
          </w:p>
        </w:tc>
        <w:tc>
          <w:tcPr>
            <w:tcW w:w="634" w:type="dxa"/>
            <w:tcBorders>
              <w:top w:val="single" w:sz="4" w:space="0" w:color="auto"/>
              <w:left w:val="single" w:sz="4" w:space="0" w:color="auto"/>
              <w:bottom w:val="single" w:sz="4" w:space="0" w:color="auto"/>
              <w:right w:val="single" w:sz="4" w:space="0" w:color="auto"/>
            </w:tcBorders>
            <w:vAlign w:val="center"/>
          </w:tcPr>
          <w:p w14:paraId="5EE5D6B3"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11.07</w:t>
            </w:r>
          </w:p>
        </w:tc>
        <w:tc>
          <w:tcPr>
            <w:tcW w:w="855" w:type="dxa"/>
            <w:tcBorders>
              <w:top w:val="nil"/>
              <w:left w:val="single" w:sz="4" w:space="0" w:color="auto"/>
              <w:bottom w:val="single" w:sz="8" w:space="0" w:color="auto"/>
              <w:right w:val="single" w:sz="8" w:space="0" w:color="auto"/>
            </w:tcBorders>
            <w:vAlign w:val="center"/>
          </w:tcPr>
          <w:p w14:paraId="326A7E0D" w14:textId="77777777" w:rsidR="007E059E" w:rsidRPr="007E059E" w:rsidRDefault="007E059E" w:rsidP="00047009">
            <w:pPr>
              <w:jc w:val="center"/>
              <w:rPr>
                <w:rFonts w:ascii="Arial" w:hAnsi="Arial" w:cs="Arial"/>
                <w:sz w:val="20"/>
                <w:szCs w:val="20"/>
              </w:rPr>
            </w:pPr>
            <w:r w:rsidRPr="007E059E">
              <w:rPr>
                <w:rFonts w:ascii="Arial" w:hAnsi="Arial" w:cs="Arial"/>
                <w:sz w:val="20"/>
                <w:szCs w:val="20"/>
              </w:rPr>
              <w:t>6.67</w:t>
            </w:r>
          </w:p>
        </w:tc>
        <w:tc>
          <w:tcPr>
            <w:tcW w:w="9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727737" w14:textId="77777777" w:rsidR="007E059E" w:rsidRPr="007E059E" w:rsidRDefault="007E059E" w:rsidP="00047009">
            <w:pPr>
              <w:jc w:val="center"/>
              <w:rPr>
                <w:rFonts w:ascii="Arial" w:eastAsiaTheme="minorEastAsia" w:hAnsi="Arial"/>
                <w:sz w:val="20"/>
              </w:rPr>
            </w:pPr>
            <w:r w:rsidRPr="007E059E">
              <w:rPr>
                <w:rFonts w:ascii="Arial" w:hAnsi="Arial" w:cs="Arial"/>
                <w:sz w:val="20"/>
                <w:szCs w:val="20"/>
              </w:rPr>
              <w:t>4.40</w:t>
            </w:r>
          </w:p>
        </w:tc>
        <w:tc>
          <w:tcPr>
            <w:tcW w:w="1285" w:type="dxa"/>
            <w:tcBorders>
              <w:top w:val="nil"/>
              <w:left w:val="nil"/>
              <w:bottom w:val="single" w:sz="8" w:space="0" w:color="auto"/>
              <w:right w:val="single" w:sz="8" w:space="0" w:color="auto"/>
            </w:tcBorders>
            <w:vAlign w:val="center"/>
          </w:tcPr>
          <w:p w14:paraId="54543F30" w14:textId="1C41D558"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$17.70</w:t>
            </w:r>
          </w:p>
        </w:tc>
        <w:tc>
          <w:tcPr>
            <w:tcW w:w="993" w:type="dxa"/>
            <w:tcBorders>
              <w:top w:val="nil"/>
              <w:left w:val="nil"/>
              <w:bottom w:val="single" w:sz="8" w:space="0" w:color="auto"/>
              <w:right w:val="single" w:sz="8" w:space="0" w:color="auto"/>
            </w:tcBorders>
            <w:vAlign w:val="center"/>
          </w:tcPr>
          <w:p w14:paraId="3F08F5D8" w14:textId="0025BB38" w:rsidR="007E059E" w:rsidRPr="007E059E" w:rsidRDefault="007E059E" w:rsidP="00047009">
            <w:pPr>
              <w:jc w:val="center"/>
              <w:rPr>
                <w:rFonts w:ascii="Arial" w:hAnsi="Arial" w:cs="Arial"/>
                <w:color w:val="000000"/>
                <w:sz w:val="20"/>
                <w:szCs w:val="20"/>
              </w:rPr>
            </w:pPr>
            <w:r w:rsidRPr="007E059E">
              <w:rPr>
                <w:rFonts w:ascii="Arial" w:hAnsi="Arial" w:cs="Arial"/>
                <w:sz w:val="20"/>
                <w:szCs w:val="20"/>
              </w:rPr>
              <w:t>$28.56</w:t>
            </w:r>
          </w:p>
        </w:tc>
        <w:tc>
          <w:tcPr>
            <w:tcW w:w="1098" w:type="dxa"/>
            <w:tcBorders>
              <w:top w:val="nil"/>
              <w:left w:val="nil"/>
              <w:bottom w:val="single" w:sz="8" w:space="0" w:color="auto"/>
              <w:right w:val="single" w:sz="8" w:space="0" w:color="auto"/>
            </w:tcBorders>
            <w:vAlign w:val="center"/>
          </w:tcPr>
          <w:p w14:paraId="55CC3E67" w14:textId="77777777" w:rsidR="007E059E" w:rsidRPr="007E059E" w:rsidRDefault="007E059E" w:rsidP="00047009">
            <w:pPr>
              <w:jc w:val="center"/>
              <w:rPr>
                <w:rFonts w:ascii="Arial" w:hAnsi="Arial" w:cs="Arial"/>
                <w:b/>
                <w:sz w:val="20"/>
                <w:szCs w:val="20"/>
              </w:rPr>
            </w:pPr>
            <w:r w:rsidRPr="007E059E">
              <w:rPr>
                <w:rFonts w:ascii="Arial" w:hAnsi="Arial" w:cs="Arial"/>
                <w:b/>
                <w:sz w:val="20"/>
                <w:szCs w:val="20"/>
              </w:rPr>
              <w:t>$129-$2570</w:t>
            </w:r>
          </w:p>
        </w:tc>
      </w:tr>
    </w:tbl>
    <w:p w14:paraId="0B204F04" w14:textId="77777777" w:rsidR="00047009" w:rsidRDefault="00047009" w:rsidP="00047009">
      <w:pPr>
        <w:pStyle w:val="ListParagraph"/>
        <w:ind w:left="1080"/>
        <w:rPr>
          <w:rFonts w:ascii="Arial" w:hAnsi="Arial" w:cs="Arial"/>
          <w:sz w:val="20"/>
          <w:szCs w:val="20"/>
        </w:rPr>
      </w:pPr>
    </w:p>
    <w:p w14:paraId="75C458AB" w14:textId="3C6FBC97" w:rsidR="007E059E" w:rsidRDefault="007E059E" w:rsidP="006666F0">
      <w:pPr>
        <w:pStyle w:val="ListParagraph"/>
        <w:numPr>
          <w:ilvl w:val="0"/>
          <w:numId w:val="25"/>
        </w:numPr>
        <w:rPr>
          <w:rFonts w:ascii="Arial" w:hAnsi="Arial" w:cs="Arial"/>
          <w:sz w:val="20"/>
          <w:szCs w:val="20"/>
        </w:rPr>
      </w:pPr>
      <w:r w:rsidRPr="007E059E">
        <w:rPr>
          <w:rFonts w:ascii="Arial" w:hAnsi="Arial" w:cs="Arial"/>
          <w:sz w:val="20"/>
          <w:szCs w:val="20"/>
        </w:rPr>
        <w:t>DEER currently can acce</w:t>
      </w:r>
      <w:r w:rsidRPr="00047009">
        <w:rPr>
          <w:rFonts w:ascii="Arial" w:hAnsi="Arial" w:cs="Arial"/>
          <w:sz w:val="20"/>
          <w:szCs w:val="20"/>
        </w:rPr>
        <w:t xml:space="preserve">pt only a constant value of cost per unit of measure. </w:t>
      </w:r>
      <w:r w:rsidR="00047009" w:rsidRPr="00047009">
        <w:rPr>
          <w:rFonts w:ascii="Arial" w:hAnsi="Arial" w:cs="Arial"/>
          <w:sz w:val="20"/>
          <w:szCs w:val="20"/>
        </w:rPr>
        <w:t xml:space="preserve">The details have been described in Section </w:t>
      </w:r>
      <w:r w:rsidR="00047009" w:rsidRPr="1AA8F051">
        <w:fldChar w:fldCharType="begin"/>
      </w:r>
      <w:r w:rsidR="00047009" w:rsidRPr="00047009">
        <w:rPr>
          <w:rFonts w:ascii="Arial" w:hAnsi="Arial" w:cs="Arial"/>
          <w:sz w:val="20"/>
          <w:szCs w:val="20"/>
        </w:rPr>
        <w:instrText xml:space="preserve"> REF _Ref511168896 \h  \* MERGEFORMAT </w:instrText>
      </w:r>
      <w:r w:rsidR="00047009" w:rsidRPr="1AA8F051">
        <w:rPr>
          <w:rFonts w:ascii="Arial" w:hAnsi="Arial" w:cs="Arial"/>
          <w:sz w:val="20"/>
          <w:szCs w:val="20"/>
        </w:rPr>
        <w:fldChar w:fldCharType="separate"/>
      </w:r>
      <w:r w:rsidR="00047009" w:rsidRPr="00047009">
        <w:rPr>
          <w:rFonts w:ascii="Arial" w:hAnsi="Arial" w:cs="Arial"/>
          <w:sz w:val="20"/>
          <w:szCs w:val="20"/>
        </w:rPr>
        <w:t>1.6.4 DEER Limitation on Non-linear Functions</w:t>
      </w:r>
      <w:r w:rsidR="00047009" w:rsidRPr="1AA8F051">
        <w:fldChar w:fldCharType="end"/>
      </w:r>
      <w:r w:rsidR="00047009">
        <w:rPr>
          <w:rFonts w:ascii="Arial" w:hAnsi="Arial" w:cs="Arial"/>
          <w:sz w:val="20"/>
          <w:szCs w:val="20"/>
        </w:rPr>
        <w:t>.</w:t>
      </w:r>
    </w:p>
    <w:p w14:paraId="25A2C4F9" w14:textId="77777777" w:rsidR="00661E36" w:rsidRDefault="00661E36" w:rsidP="00661E36">
      <w:pPr>
        <w:pStyle w:val="ListParagraph"/>
        <w:ind w:left="1080"/>
        <w:rPr>
          <w:rFonts w:ascii="Arial" w:hAnsi="Arial" w:cs="Arial"/>
          <w:sz w:val="20"/>
          <w:szCs w:val="20"/>
        </w:rPr>
      </w:pPr>
    </w:p>
    <w:p w14:paraId="7D32B3BA" w14:textId="728EC2CD" w:rsidR="00661E36" w:rsidRPr="00661E36" w:rsidRDefault="00661E36" w:rsidP="006666F0">
      <w:pPr>
        <w:pStyle w:val="ListParagraph"/>
        <w:numPr>
          <w:ilvl w:val="0"/>
          <w:numId w:val="23"/>
        </w:numPr>
        <w:rPr>
          <w:rFonts w:ascii="Arial" w:hAnsi="Arial" w:cs="Arial"/>
          <w:b/>
          <w:sz w:val="20"/>
          <w:szCs w:val="20"/>
        </w:rPr>
      </w:pPr>
      <w:r>
        <w:rPr>
          <w:rFonts w:ascii="Arial" w:hAnsi="Arial" w:cs="Arial"/>
          <w:b/>
          <w:sz w:val="20"/>
          <w:szCs w:val="20"/>
        </w:rPr>
        <w:t xml:space="preserve">(Pertinent for ER and 1-for-1 replacement) </w:t>
      </w:r>
      <w:r w:rsidRPr="00661E36">
        <w:rPr>
          <w:rFonts w:ascii="Arial" w:hAnsi="Arial" w:cs="Arial"/>
          <w:b/>
          <w:sz w:val="20"/>
          <w:szCs w:val="20"/>
        </w:rPr>
        <w:t>Scaling the metal halide fixtures and costs appropriately across the light output range</w:t>
      </w:r>
    </w:p>
    <w:p w14:paraId="57C36E97" w14:textId="77777777" w:rsidR="00661E36" w:rsidRPr="00661E36" w:rsidRDefault="00661E36" w:rsidP="00661E36">
      <w:pPr>
        <w:ind w:left="720"/>
        <w:jc w:val="both"/>
        <w:rPr>
          <w:rFonts w:ascii="Arial" w:hAnsi="Arial" w:cs="Arial"/>
          <w:sz w:val="20"/>
          <w:szCs w:val="20"/>
        </w:rPr>
      </w:pPr>
      <w:r w:rsidRPr="00661E36">
        <w:rPr>
          <w:rFonts w:ascii="Arial" w:hAnsi="Arial" w:cs="Arial"/>
          <w:sz w:val="20"/>
          <w:szCs w:val="20"/>
          <w:u w:val="single"/>
        </w:rPr>
        <w:t>Background</w:t>
      </w:r>
      <w:r w:rsidRPr="00661E36">
        <w:rPr>
          <w:rFonts w:ascii="Arial" w:hAnsi="Arial" w:cs="Arial"/>
          <w:sz w:val="20"/>
          <w:szCs w:val="20"/>
        </w:rPr>
        <w:t>:  The Ex Ante Team recommended the kilolumen method utilized in PGECOLTG179 for LED troffers where energy impacts are normalized in terms of energy savings per unit of light output, or kilolumen.  For fluorescent lighting, commonly found in office, retail, and other commercial spaces, the light source technology is predominantly the F32T8 four-foot fluorescent lamp. Other technologies exist, but this is the most common and highest-efficacy technology in use. Most importantly for scaling per lumen, the same exact fluorescent lamps (and thus the same efficacy) are used both for illuminating hallways to 10 foot-candles and for illuminating printing review spaces to 100+ foot-candles. Thus, the savings from a 125 lm/W LED over the ~95 lm/W fluorescent is the same across the measures.</w:t>
      </w:r>
    </w:p>
    <w:p w14:paraId="7F7689DE" w14:textId="77777777" w:rsidR="00661E36" w:rsidRPr="00661E36" w:rsidRDefault="00661E36" w:rsidP="00661E36">
      <w:pPr>
        <w:ind w:left="720"/>
        <w:jc w:val="both"/>
        <w:rPr>
          <w:rFonts w:ascii="Arial" w:hAnsi="Arial" w:cs="Arial"/>
          <w:sz w:val="20"/>
          <w:szCs w:val="20"/>
        </w:rPr>
      </w:pPr>
    </w:p>
    <w:p w14:paraId="14B21D43" w14:textId="77777777" w:rsidR="00661E36" w:rsidRPr="00661E36" w:rsidRDefault="00661E36" w:rsidP="006666F0">
      <w:pPr>
        <w:pStyle w:val="ListParagraph"/>
        <w:numPr>
          <w:ilvl w:val="0"/>
          <w:numId w:val="22"/>
        </w:numPr>
        <w:spacing w:after="200"/>
        <w:jc w:val="both"/>
        <w:rPr>
          <w:rFonts w:ascii="Arial" w:hAnsi="Arial" w:cs="Arial"/>
          <w:sz w:val="20"/>
          <w:szCs w:val="20"/>
        </w:rPr>
      </w:pPr>
      <w:r w:rsidRPr="00661E36">
        <w:rPr>
          <w:rFonts w:ascii="Arial" w:hAnsi="Arial" w:cs="Arial"/>
          <w:sz w:val="20"/>
          <w:szCs w:val="20"/>
        </w:rPr>
        <w:t xml:space="preserve">However, the scaling of metal halide light output presents a problem because all sizes of metal halide fixtures have 1 lamp each.  </w:t>
      </w:r>
      <w:r w:rsidRPr="00661E36">
        <w:rPr>
          <w:rFonts w:ascii="Arial" w:hAnsi="Arial" w:cs="Arial"/>
          <w:i/>
          <w:sz w:val="20"/>
          <w:szCs w:val="20"/>
        </w:rPr>
        <w:t>For high-bay lighting where metal halide products are a common light source, the base case efficacy is not constant per light output across the output range.</w:t>
      </w:r>
      <w:r w:rsidRPr="00661E36">
        <w:rPr>
          <w:rFonts w:ascii="Arial" w:hAnsi="Arial" w:cs="Arial"/>
          <w:sz w:val="20"/>
          <w:szCs w:val="20"/>
        </w:rPr>
        <w:t xml:space="preserve"> This is a significant issue that prevents establishing accurate energy impacts across a range of HID products in high/low bay applications on a per kilolumen basis.  </w:t>
      </w:r>
    </w:p>
    <w:p w14:paraId="10196191" w14:textId="68976D27" w:rsidR="00661E36" w:rsidRPr="00661E36" w:rsidRDefault="00661E36" w:rsidP="00661E36">
      <w:pPr>
        <w:ind w:left="1080"/>
        <w:jc w:val="both"/>
        <w:rPr>
          <w:rFonts w:ascii="Arial" w:hAnsi="Arial" w:cs="Arial"/>
          <w:sz w:val="20"/>
          <w:szCs w:val="20"/>
        </w:rPr>
      </w:pPr>
      <w:r w:rsidRPr="00661E36">
        <w:rPr>
          <w:rFonts w:ascii="Arial" w:hAnsi="Arial" w:cs="Arial"/>
          <w:sz w:val="20"/>
          <w:szCs w:val="20"/>
        </w:rPr>
        <w:t>This table</w:t>
      </w:r>
      <w:r w:rsidRPr="00661E36">
        <w:rPr>
          <w:rStyle w:val="FootnoteReference"/>
          <w:rFonts w:ascii="Arial" w:hAnsi="Arial" w:cs="Arial"/>
          <w:sz w:val="20"/>
          <w:szCs w:val="20"/>
        </w:rPr>
        <w:footnoteReference w:id="2"/>
      </w:r>
      <w:r w:rsidRPr="00661E36">
        <w:rPr>
          <w:rFonts w:ascii="Arial" w:hAnsi="Arial" w:cs="Arial"/>
          <w:sz w:val="20"/>
          <w:szCs w:val="20"/>
        </w:rPr>
        <w:t xml:space="preserve"> demonstrates the significant variation in lamp efficacies across the wattage and output range: </w:t>
      </w:r>
    </w:p>
    <w:p w14:paraId="38C0C36E" w14:textId="77777777" w:rsidR="00661E36" w:rsidRPr="00661E36" w:rsidRDefault="00661E36" w:rsidP="00661E36">
      <w:pPr>
        <w:ind w:left="360"/>
        <w:jc w:val="both"/>
        <w:rPr>
          <w:rFonts w:ascii="Arial" w:hAnsi="Arial" w:cs="Arial"/>
          <w:sz w:val="20"/>
          <w:szCs w:val="20"/>
        </w:rPr>
      </w:pPr>
    </w:p>
    <w:p w14:paraId="429BE6D9" w14:textId="75B01AFE" w:rsidR="007B310E" w:rsidRDefault="007B310E" w:rsidP="007B310E">
      <w:pPr>
        <w:pStyle w:val="Caption"/>
        <w:keepNext/>
        <w:jc w:val="center"/>
      </w:pPr>
      <w:bookmarkStart w:id="134" w:name="_Toc511244278"/>
      <w:bookmarkStart w:id="135" w:name="_Toc511244303"/>
      <w:bookmarkStart w:id="136" w:name="_Toc511244922"/>
      <w:r>
        <w:t xml:space="preserve">Table </w:t>
      </w:r>
      <w:r w:rsidR="00C426D4">
        <w:fldChar w:fldCharType="begin"/>
      </w:r>
      <w:r w:rsidR="00C426D4">
        <w:instrText xml:space="preserve"> SEQ Table \* ARABIC </w:instrText>
      </w:r>
      <w:r w:rsidR="00C426D4">
        <w:fldChar w:fldCharType="separate"/>
      </w:r>
      <w:r w:rsidR="00E94C25">
        <w:rPr>
          <w:noProof/>
        </w:rPr>
        <w:t>13</w:t>
      </w:r>
      <w:r w:rsidR="00C426D4">
        <w:rPr>
          <w:noProof/>
        </w:rPr>
        <w:fldChar w:fldCharType="end"/>
      </w:r>
      <w:r>
        <w:t xml:space="preserve"> – Variation in MH and LED Efficacies Across Wattage and Output Range</w:t>
      </w:r>
      <w:bookmarkEnd w:id="134"/>
      <w:bookmarkEnd w:id="135"/>
      <w:bookmarkEnd w:id="136"/>
    </w:p>
    <w:tbl>
      <w:tblPr>
        <w:tblW w:w="7422" w:type="dxa"/>
        <w:tblInd w:w="1326" w:type="dxa"/>
        <w:tblCellMar>
          <w:left w:w="0" w:type="dxa"/>
          <w:right w:w="0" w:type="dxa"/>
        </w:tblCellMar>
        <w:tblLook w:val="04A0" w:firstRow="1" w:lastRow="0" w:firstColumn="1" w:lastColumn="0" w:noHBand="0" w:noVBand="1"/>
      </w:tblPr>
      <w:tblGrid>
        <w:gridCol w:w="1195"/>
        <w:gridCol w:w="1807"/>
        <w:gridCol w:w="2189"/>
        <w:gridCol w:w="1045"/>
        <w:gridCol w:w="1186"/>
      </w:tblGrid>
      <w:tr w:rsidR="00661E36" w:rsidRPr="00661E36" w14:paraId="0739A140" w14:textId="77777777" w:rsidTr="00331F75">
        <w:trPr>
          <w:trHeight w:val="288"/>
        </w:trPr>
        <w:tc>
          <w:tcPr>
            <w:tcW w:w="119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56161EF0" w14:textId="77777777" w:rsidR="00661E36" w:rsidRPr="00661E36" w:rsidRDefault="00661E36" w:rsidP="00331F75">
            <w:pPr>
              <w:rPr>
                <w:rFonts w:ascii="Arial" w:eastAsiaTheme="minorEastAsia" w:hAnsi="Arial"/>
                <w:sz w:val="20"/>
              </w:rPr>
            </w:pPr>
            <w:r w:rsidRPr="1AA8F051">
              <w:rPr>
                <w:rFonts w:ascii="Arial" w:hAnsi="Arial"/>
                <w:b/>
                <w:color w:val="000000" w:themeColor="text1"/>
                <w:sz w:val="20"/>
              </w:rPr>
              <w:t>MH Lamp Wattage</w:t>
            </w:r>
          </w:p>
        </w:tc>
        <w:tc>
          <w:tcPr>
            <w:tcW w:w="1807"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9ADBE12" w14:textId="77777777" w:rsidR="00661E36" w:rsidRPr="00661E36" w:rsidRDefault="00661E36" w:rsidP="00331F75">
            <w:pPr>
              <w:rPr>
                <w:rFonts w:ascii="Arial" w:eastAsiaTheme="minorEastAsia" w:hAnsi="Arial"/>
                <w:sz w:val="20"/>
              </w:rPr>
            </w:pPr>
            <w:r w:rsidRPr="1AA8F051">
              <w:rPr>
                <w:rFonts w:ascii="Arial" w:hAnsi="Arial"/>
                <w:b/>
                <w:color w:val="000000" w:themeColor="text1"/>
                <w:sz w:val="20"/>
              </w:rPr>
              <w:t>MH Initial Lamp Lumens</w:t>
            </w:r>
          </w:p>
        </w:tc>
        <w:tc>
          <w:tcPr>
            <w:tcW w:w="21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618D10" w14:textId="77777777" w:rsidR="00661E36" w:rsidRPr="00661E36" w:rsidRDefault="00661E36" w:rsidP="00331F75">
            <w:pPr>
              <w:rPr>
                <w:rFonts w:ascii="Arial" w:eastAsiaTheme="minorEastAsia" w:hAnsi="Arial"/>
                <w:sz w:val="20"/>
              </w:rPr>
            </w:pPr>
            <w:r w:rsidRPr="1AA8F051">
              <w:rPr>
                <w:rFonts w:ascii="Arial" w:hAnsi="Arial"/>
                <w:b/>
                <w:color w:val="000000" w:themeColor="text1"/>
                <w:sz w:val="20"/>
              </w:rPr>
              <w:t>MH Lamp efficacy (lm/W)</w:t>
            </w:r>
          </w:p>
        </w:tc>
        <w:tc>
          <w:tcPr>
            <w:tcW w:w="1045" w:type="dxa"/>
            <w:tcBorders>
              <w:top w:val="single" w:sz="8" w:space="0" w:color="auto"/>
              <w:left w:val="nil"/>
              <w:bottom w:val="single" w:sz="8" w:space="0" w:color="auto"/>
              <w:right w:val="single" w:sz="8" w:space="0" w:color="auto"/>
            </w:tcBorders>
          </w:tcPr>
          <w:p w14:paraId="7E6D4E17" w14:textId="77777777" w:rsidR="00661E36" w:rsidRPr="00661E36" w:rsidRDefault="00661E36" w:rsidP="00331F75">
            <w:pPr>
              <w:rPr>
                <w:rFonts w:ascii="Arial" w:hAnsi="Arial" w:cs="Arial"/>
                <w:b/>
                <w:bCs/>
                <w:color w:val="000000"/>
                <w:sz w:val="20"/>
                <w:szCs w:val="20"/>
              </w:rPr>
            </w:pPr>
            <w:r w:rsidRPr="1AA8F051">
              <w:rPr>
                <w:rFonts w:ascii="Arial" w:hAnsi="Arial"/>
                <w:b/>
                <w:color w:val="000000" w:themeColor="text1"/>
                <w:sz w:val="20"/>
              </w:rPr>
              <w:t>LED DLC Premium efficacy (lm/W)</w:t>
            </w:r>
          </w:p>
        </w:tc>
        <w:tc>
          <w:tcPr>
            <w:tcW w:w="1186" w:type="dxa"/>
            <w:tcBorders>
              <w:top w:val="single" w:sz="8" w:space="0" w:color="auto"/>
              <w:left w:val="nil"/>
              <w:bottom w:val="single" w:sz="8" w:space="0" w:color="auto"/>
              <w:right w:val="single" w:sz="8" w:space="0" w:color="auto"/>
            </w:tcBorders>
          </w:tcPr>
          <w:p w14:paraId="4259B9CC" w14:textId="77777777" w:rsidR="00661E36" w:rsidRPr="00661E36" w:rsidRDefault="00661E36" w:rsidP="00331F75">
            <w:pPr>
              <w:rPr>
                <w:rFonts w:ascii="Arial" w:hAnsi="Arial" w:cs="Arial"/>
                <w:b/>
                <w:bCs/>
                <w:color w:val="000000"/>
                <w:sz w:val="20"/>
                <w:szCs w:val="20"/>
              </w:rPr>
            </w:pPr>
            <w:r w:rsidRPr="1AA8F051">
              <w:rPr>
                <w:rFonts w:ascii="Arial" w:hAnsi="Arial"/>
                <w:b/>
                <w:color w:val="000000" w:themeColor="text1"/>
                <w:sz w:val="20"/>
              </w:rPr>
              <w:t>Delta Efficacy (lm/W)</w:t>
            </w:r>
          </w:p>
        </w:tc>
      </w:tr>
      <w:tr w:rsidR="00661E36" w:rsidRPr="00661E36" w14:paraId="61CB3098"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8EBDB6F" w14:textId="77777777" w:rsidR="00661E36" w:rsidRPr="00661E36" w:rsidRDefault="00661E36" w:rsidP="00331F75">
            <w:pPr>
              <w:rPr>
                <w:rFonts w:ascii="Arial" w:eastAsiaTheme="minorEastAsia" w:hAnsi="Arial"/>
                <w:sz w:val="20"/>
              </w:rPr>
            </w:pPr>
            <w:r w:rsidRPr="00661E36">
              <w:rPr>
                <w:rFonts w:ascii="Arial" w:hAnsi="Arial" w:cs="Arial"/>
                <w:sz w:val="20"/>
                <w:szCs w:val="20"/>
              </w:rPr>
              <w:t>100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1B4DFA3B"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8,213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19857929"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65.90 </w:t>
            </w:r>
          </w:p>
        </w:tc>
        <w:tc>
          <w:tcPr>
            <w:tcW w:w="1045" w:type="dxa"/>
            <w:tcBorders>
              <w:top w:val="nil"/>
              <w:left w:val="nil"/>
              <w:bottom w:val="single" w:sz="8" w:space="0" w:color="auto"/>
              <w:right w:val="single" w:sz="8" w:space="0" w:color="auto"/>
            </w:tcBorders>
          </w:tcPr>
          <w:p w14:paraId="3085D790"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19AB7599"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64.10 </w:t>
            </w:r>
          </w:p>
        </w:tc>
      </w:tr>
      <w:tr w:rsidR="00661E36" w:rsidRPr="00661E36" w14:paraId="2FDA29AD"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B141208" w14:textId="77777777" w:rsidR="00661E36" w:rsidRPr="00661E36" w:rsidRDefault="00661E36" w:rsidP="00331F75">
            <w:pPr>
              <w:rPr>
                <w:rFonts w:ascii="Arial" w:eastAsiaTheme="minorEastAsia" w:hAnsi="Arial"/>
                <w:sz w:val="20"/>
              </w:rPr>
            </w:pPr>
            <w:r w:rsidRPr="00661E36">
              <w:rPr>
                <w:rFonts w:ascii="Arial" w:hAnsi="Arial" w:cs="Arial"/>
                <w:sz w:val="20"/>
                <w:szCs w:val="20"/>
              </w:rPr>
              <w:t>150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5C049C70"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12,360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37F2653B"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67.90 </w:t>
            </w:r>
          </w:p>
        </w:tc>
        <w:tc>
          <w:tcPr>
            <w:tcW w:w="1045" w:type="dxa"/>
            <w:tcBorders>
              <w:top w:val="nil"/>
              <w:left w:val="nil"/>
              <w:bottom w:val="single" w:sz="8" w:space="0" w:color="auto"/>
              <w:right w:val="single" w:sz="8" w:space="0" w:color="auto"/>
            </w:tcBorders>
          </w:tcPr>
          <w:p w14:paraId="69225B87"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661E34BD"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62.10 </w:t>
            </w:r>
          </w:p>
        </w:tc>
      </w:tr>
      <w:tr w:rsidR="00661E36" w:rsidRPr="00661E36" w14:paraId="2342D8CC"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F7DA4B7" w14:textId="77777777" w:rsidR="00661E36" w:rsidRPr="00661E36" w:rsidRDefault="00661E36" w:rsidP="00331F75">
            <w:pPr>
              <w:rPr>
                <w:rFonts w:ascii="Arial" w:eastAsiaTheme="minorEastAsia" w:hAnsi="Arial"/>
                <w:sz w:val="20"/>
              </w:rPr>
            </w:pPr>
            <w:r w:rsidRPr="00661E36">
              <w:rPr>
                <w:rFonts w:ascii="Arial" w:hAnsi="Arial" w:cs="Arial"/>
                <w:sz w:val="20"/>
                <w:szCs w:val="20"/>
              </w:rPr>
              <w:t>200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7224FCA2"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20,000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0FFCD23C"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90.00 </w:t>
            </w:r>
          </w:p>
        </w:tc>
        <w:tc>
          <w:tcPr>
            <w:tcW w:w="1045" w:type="dxa"/>
            <w:tcBorders>
              <w:top w:val="nil"/>
              <w:left w:val="nil"/>
              <w:bottom w:val="single" w:sz="8" w:space="0" w:color="auto"/>
              <w:right w:val="single" w:sz="8" w:space="0" w:color="auto"/>
            </w:tcBorders>
          </w:tcPr>
          <w:p w14:paraId="7119F32D"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0B930C12"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40.00 </w:t>
            </w:r>
          </w:p>
        </w:tc>
      </w:tr>
      <w:tr w:rsidR="00661E36" w:rsidRPr="00661E36" w14:paraId="7FB36996"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683BDCF" w14:textId="77777777" w:rsidR="00661E36" w:rsidRPr="00661E36" w:rsidRDefault="00661E36" w:rsidP="00331F75">
            <w:pPr>
              <w:rPr>
                <w:rFonts w:ascii="Arial" w:eastAsiaTheme="minorEastAsia" w:hAnsi="Arial"/>
                <w:sz w:val="20"/>
              </w:rPr>
            </w:pPr>
            <w:r w:rsidRPr="00661E36">
              <w:rPr>
                <w:rFonts w:ascii="Arial" w:hAnsi="Arial" w:cs="Arial"/>
                <w:sz w:val="20"/>
                <w:szCs w:val="20"/>
              </w:rPr>
              <w:t>250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171594C7"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23,183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31F96352"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83.46 </w:t>
            </w:r>
          </w:p>
        </w:tc>
        <w:tc>
          <w:tcPr>
            <w:tcW w:w="1045" w:type="dxa"/>
            <w:tcBorders>
              <w:top w:val="nil"/>
              <w:left w:val="nil"/>
              <w:bottom w:val="single" w:sz="8" w:space="0" w:color="auto"/>
              <w:right w:val="single" w:sz="8" w:space="0" w:color="auto"/>
            </w:tcBorders>
          </w:tcPr>
          <w:p w14:paraId="47641023"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64CBF644"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46.54 </w:t>
            </w:r>
          </w:p>
        </w:tc>
      </w:tr>
      <w:tr w:rsidR="00661E36" w:rsidRPr="00661E36" w14:paraId="38A2AFFC"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0E6AC5C" w14:textId="77777777" w:rsidR="00661E36" w:rsidRPr="00661E36" w:rsidRDefault="00661E36" w:rsidP="00331F75">
            <w:pPr>
              <w:rPr>
                <w:rFonts w:ascii="Arial" w:eastAsiaTheme="minorEastAsia" w:hAnsi="Arial"/>
                <w:sz w:val="20"/>
              </w:rPr>
            </w:pPr>
            <w:r w:rsidRPr="00661E36">
              <w:rPr>
                <w:rFonts w:ascii="Arial" w:hAnsi="Arial" w:cs="Arial"/>
                <w:sz w:val="20"/>
                <w:szCs w:val="20"/>
              </w:rPr>
              <w:lastRenderedPageBreak/>
              <w:t>320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4C6F0B7B"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30,473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5B184127"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87.61 </w:t>
            </w:r>
          </w:p>
        </w:tc>
        <w:tc>
          <w:tcPr>
            <w:tcW w:w="1045" w:type="dxa"/>
            <w:tcBorders>
              <w:top w:val="nil"/>
              <w:left w:val="nil"/>
              <w:bottom w:val="single" w:sz="8" w:space="0" w:color="auto"/>
              <w:right w:val="single" w:sz="8" w:space="0" w:color="auto"/>
            </w:tcBorders>
          </w:tcPr>
          <w:p w14:paraId="4C885C58"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264B7A61"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42.39 </w:t>
            </w:r>
          </w:p>
        </w:tc>
      </w:tr>
      <w:tr w:rsidR="00661E36" w:rsidRPr="00661E36" w14:paraId="38B7ECB2"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4461ABB" w14:textId="77777777" w:rsidR="00661E36" w:rsidRPr="00661E36" w:rsidRDefault="00661E36" w:rsidP="00331F75">
            <w:pPr>
              <w:rPr>
                <w:rFonts w:ascii="Arial" w:eastAsiaTheme="minorEastAsia" w:hAnsi="Arial"/>
                <w:sz w:val="20"/>
              </w:rPr>
            </w:pPr>
            <w:r w:rsidRPr="00661E36">
              <w:rPr>
                <w:rFonts w:ascii="Arial" w:hAnsi="Arial" w:cs="Arial"/>
                <w:sz w:val="20"/>
                <w:szCs w:val="20"/>
              </w:rPr>
              <w:t>400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207C5D04"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42,250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5E091733"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97.18 </w:t>
            </w:r>
          </w:p>
        </w:tc>
        <w:tc>
          <w:tcPr>
            <w:tcW w:w="1045" w:type="dxa"/>
            <w:tcBorders>
              <w:top w:val="nil"/>
              <w:left w:val="nil"/>
              <w:bottom w:val="single" w:sz="8" w:space="0" w:color="auto"/>
              <w:right w:val="single" w:sz="8" w:space="0" w:color="auto"/>
            </w:tcBorders>
          </w:tcPr>
          <w:p w14:paraId="1DCBFAF0"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356682E2"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32.83 </w:t>
            </w:r>
          </w:p>
        </w:tc>
      </w:tr>
      <w:tr w:rsidR="00661E36" w:rsidRPr="00661E36" w14:paraId="7F56EA79"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3004548" w14:textId="77777777" w:rsidR="00661E36" w:rsidRPr="00661E36" w:rsidRDefault="00661E36" w:rsidP="00331F75">
            <w:pPr>
              <w:rPr>
                <w:rFonts w:ascii="Arial" w:eastAsiaTheme="minorEastAsia" w:hAnsi="Arial"/>
                <w:sz w:val="20"/>
              </w:rPr>
            </w:pPr>
            <w:r w:rsidRPr="00661E36">
              <w:rPr>
                <w:rFonts w:ascii="Arial" w:hAnsi="Arial" w:cs="Arial"/>
                <w:sz w:val="20"/>
                <w:szCs w:val="20"/>
              </w:rPr>
              <w:t>750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3C6E7BC0"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75,000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758E4F1D"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91.69 </w:t>
            </w:r>
          </w:p>
        </w:tc>
        <w:tc>
          <w:tcPr>
            <w:tcW w:w="1045" w:type="dxa"/>
            <w:tcBorders>
              <w:top w:val="nil"/>
              <w:left w:val="nil"/>
              <w:bottom w:val="single" w:sz="8" w:space="0" w:color="auto"/>
              <w:right w:val="single" w:sz="8" w:space="0" w:color="auto"/>
            </w:tcBorders>
          </w:tcPr>
          <w:p w14:paraId="6F7DFE9F"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4F9E19F7"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38.31 </w:t>
            </w:r>
          </w:p>
        </w:tc>
      </w:tr>
      <w:tr w:rsidR="00661E36" w:rsidRPr="00661E36" w14:paraId="3EC1F68F" w14:textId="77777777" w:rsidTr="00331F75">
        <w:trPr>
          <w:trHeight w:val="300"/>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46E2AAE" w14:textId="77777777" w:rsidR="00661E36" w:rsidRPr="00661E36" w:rsidRDefault="00661E36" w:rsidP="00331F75">
            <w:pPr>
              <w:rPr>
                <w:rFonts w:ascii="Arial" w:eastAsiaTheme="minorEastAsia" w:hAnsi="Arial"/>
                <w:sz w:val="20"/>
              </w:rPr>
            </w:pPr>
            <w:r w:rsidRPr="00661E36">
              <w:rPr>
                <w:rFonts w:ascii="Arial" w:hAnsi="Arial" w:cs="Arial"/>
                <w:sz w:val="20"/>
                <w:szCs w:val="20"/>
              </w:rPr>
              <w:t>1000</w:t>
            </w:r>
          </w:p>
        </w:tc>
        <w:tc>
          <w:tcPr>
            <w:tcW w:w="1807" w:type="dxa"/>
            <w:tcBorders>
              <w:top w:val="nil"/>
              <w:left w:val="nil"/>
              <w:bottom w:val="single" w:sz="8" w:space="0" w:color="auto"/>
              <w:right w:val="single" w:sz="8" w:space="0" w:color="auto"/>
            </w:tcBorders>
            <w:noWrap/>
            <w:tcMar>
              <w:top w:w="0" w:type="dxa"/>
              <w:left w:w="108" w:type="dxa"/>
              <w:bottom w:w="0" w:type="dxa"/>
              <w:right w:w="108" w:type="dxa"/>
            </w:tcMar>
            <w:hideMark/>
          </w:tcPr>
          <w:p w14:paraId="51681F77" w14:textId="77777777" w:rsidR="00661E36" w:rsidRPr="00661E36" w:rsidRDefault="00661E36" w:rsidP="00331F75">
            <w:pPr>
              <w:rPr>
                <w:rFonts w:ascii="Arial" w:eastAsiaTheme="minorEastAsia" w:hAnsi="Arial"/>
                <w:sz w:val="20"/>
              </w:rPr>
            </w:pPr>
            <w:r w:rsidRPr="00661E36">
              <w:rPr>
                <w:rFonts w:ascii="Arial" w:hAnsi="Arial" w:cs="Arial"/>
                <w:sz w:val="20"/>
                <w:szCs w:val="20"/>
              </w:rPr>
              <w:t xml:space="preserve"> 120,000 </w:t>
            </w:r>
          </w:p>
        </w:tc>
        <w:tc>
          <w:tcPr>
            <w:tcW w:w="2189" w:type="dxa"/>
            <w:tcBorders>
              <w:top w:val="nil"/>
              <w:left w:val="nil"/>
              <w:bottom w:val="single" w:sz="8" w:space="0" w:color="auto"/>
              <w:right w:val="single" w:sz="8" w:space="0" w:color="auto"/>
            </w:tcBorders>
            <w:noWrap/>
            <w:tcMar>
              <w:top w:w="0" w:type="dxa"/>
              <w:left w:w="108" w:type="dxa"/>
              <w:bottom w:w="0" w:type="dxa"/>
              <w:right w:w="108" w:type="dxa"/>
            </w:tcMar>
            <w:hideMark/>
          </w:tcPr>
          <w:p w14:paraId="228BF24C" w14:textId="77777777" w:rsidR="00661E36" w:rsidRPr="00661E36" w:rsidRDefault="00661E36" w:rsidP="00331F75">
            <w:pPr>
              <w:rPr>
                <w:rFonts w:ascii="Arial" w:eastAsiaTheme="minorEastAsia" w:hAnsi="Arial"/>
                <w:b/>
                <w:sz w:val="20"/>
              </w:rPr>
            </w:pPr>
            <w:r w:rsidRPr="00661E36">
              <w:rPr>
                <w:rFonts w:ascii="Arial" w:hAnsi="Arial" w:cs="Arial"/>
                <w:b/>
                <w:sz w:val="20"/>
                <w:szCs w:val="20"/>
              </w:rPr>
              <w:t xml:space="preserve"> 112.32 </w:t>
            </w:r>
          </w:p>
        </w:tc>
        <w:tc>
          <w:tcPr>
            <w:tcW w:w="1045" w:type="dxa"/>
            <w:tcBorders>
              <w:top w:val="nil"/>
              <w:left w:val="nil"/>
              <w:bottom w:val="single" w:sz="8" w:space="0" w:color="auto"/>
              <w:right w:val="single" w:sz="8" w:space="0" w:color="auto"/>
            </w:tcBorders>
          </w:tcPr>
          <w:p w14:paraId="6DDB0DD2" w14:textId="77777777" w:rsidR="00661E36" w:rsidRPr="00661E36" w:rsidRDefault="00661E36" w:rsidP="00331F75">
            <w:pPr>
              <w:rPr>
                <w:rFonts w:ascii="Arial" w:hAnsi="Arial" w:cs="Arial"/>
                <w:color w:val="000000"/>
                <w:sz w:val="20"/>
                <w:szCs w:val="20"/>
              </w:rPr>
            </w:pPr>
            <w:r w:rsidRPr="1AA8F051">
              <w:rPr>
                <w:rFonts w:ascii="Arial" w:hAnsi="Arial"/>
                <w:color w:val="000000" w:themeColor="text1"/>
                <w:sz w:val="20"/>
              </w:rPr>
              <w:t>130</w:t>
            </w:r>
          </w:p>
        </w:tc>
        <w:tc>
          <w:tcPr>
            <w:tcW w:w="1186" w:type="dxa"/>
            <w:tcBorders>
              <w:top w:val="nil"/>
              <w:left w:val="nil"/>
              <w:bottom w:val="single" w:sz="8" w:space="0" w:color="auto"/>
              <w:right w:val="single" w:sz="8" w:space="0" w:color="auto"/>
            </w:tcBorders>
          </w:tcPr>
          <w:p w14:paraId="07AE24AF" w14:textId="77777777" w:rsidR="00661E36" w:rsidRPr="00661E36" w:rsidRDefault="00661E36" w:rsidP="00331F75">
            <w:pPr>
              <w:rPr>
                <w:rFonts w:ascii="Arial" w:hAnsi="Arial" w:cs="Arial"/>
                <w:color w:val="000000"/>
                <w:sz w:val="20"/>
                <w:szCs w:val="20"/>
              </w:rPr>
            </w:pPr>
            <w:r w:rsidRPr="00661E36">
              <w:rPr>
                <w:rFonts w:ascii="Arial" w:hAnsi="Arial" w:cs="Arial"/>
                <w:sz w:val="20"/>
                <w:szCs w:val="20"/>
              </w:rPr>
              <w:t xml:space="preserve"> 17.68 </w:t>
            </w:r>
          </w:p>
        </w:tc>
      </w:tr>
    </w:tbl>
    <w:p w14:paraId="321CB380" w14:textId="77777777" w:rsidR="00661E36" w:rsidRPr="00661E36" w:rsidRDefault="00661E36" w:rsidP="00661E36">
      <w:pPr>
        <w:ind w:left="720"/>
        <w:jc w:val="both"/>
        <w:rPr>
          <w:rFonts w:ascii="Arial" w:hAnsi="Arial" w:cs="Arial"/>
          <w:sz w:val="20"/>
          <w:szCs w:val="20"/>
        </w:rPr>
      </w:pPr>
    </w:p>
    <w:p w14:paraId="121F1064" w14:textId="77777777" w:rsidR="00661E36" w:rsidRPr="00661E36" w:rsidRDefault="00661E36" w:rsidP="00661E36">
      <w:pPr>
        <w:ind w:left="1080"/>
        <w:jc w:val="both"/>
        <w:rPr>
          <w:rFonts w:ascii="Arial" w:hAnsi="Arial" w:cs="Arial"/>
          <w:sz w:val="20"/>
          <w:szCs w:val="20"/>
        </w:rPr>
      </w:pPr>
      <w:r w:rsidRPr="00661E36">
        <w:rPr>
          <w:rFonts w:ascii="Arial" w:hAnsi="Arial" w:cs="Arial"/>
          <w:i/>
          <w:sz w:val="20"/>
          <w:szCs w:val="20"/>
        </w:rPr>
        <w:t>The assumption of a constant base case luminous efficacy ignores a significant variation because the base case efficacies are not uniform as with fluorescents.</w:t>
      </w:r>
      <w:r w:rsidRPr="00661E36">
        <w:rPr>
          <w:rFonts w:ascii="Arial" w:hAnsi="Arial" w:cs="Arial"/>
          <w:sz w:val="20"/>
          <w:szCs w:val="20"/>
        </w:rPr>
        <w:t xml:space="preserve">  The delta efficacies between the LED and metal halide as seen in the last column are significantly higher for the 100W metal halide lamp than the 1000W metal halide lamp.</w:t>
      </w:r>
      <w:r w:rsidRPr="00661E36">
        <w:rPr>
          <w:rFonts w:ascii="Arial" w:hAnsi="Arial" w:cs="Arial"/>
          <w:i/>
          <w:sz w:val="20"/>
          <w:szCs w:val="20"/>
        </w:rPr>
        <w:t xml:space="preserve"> </w:t>
      </w:r>
    </w:p>
    <w:p w14:paraId="29414F92" w14:textId="77777777" w:rsidR="00661E36" w:rsidRPr="00661E36" w:rsidRDefault="00661E36" w:rsidP="00661E36">
      <w:pPr>
        <w:pStyle w:val="ListParagraph"/>
        <w:rPr>
          <w:rFonts w:ascii="Arial" w:hAnsi="Arial" w:cs="Arial"/>
          <w:sz w:val="20"/>
          <w:szCs w:val="20"/>
        </w:rPr>
      </w:pPr>
    </w:p>
    <w:p w14:paraId="44D712D3" w14:textId="42953F19" w:rsidR="007E059E" w:rsidRPr="00661E36" w:rsidRDefault="00661E36" w:rsidP="006E3439">
      <w:pPr>
        <w:rPr>
          <w:rFonts w:ascii="Arial" w:hAnsi="Arial" w:cs="Arial"/>
          <w:sz w:val="20"/>
          <w:szCs w:val="20"/>
        </w:rPr>
      </w:pPr>
      <w:r w:rsidRPr="00661E36">
        <w:rPr>
          <w:rFonts w:ascii="Arial" w:hAnsi="Arial" w:cs="Arial"/>
          <w:sz w:val="20"/>
          <w:szCs w:val="20"/>
        </w:rPr>
        <w:t>For the future update of the workpaper, it is likely that the measure structure will use lumen bins instead of wattage bins.  It encourages customers to determine the most appropriate light output for the task.</w:t>
      </w:r>
    </w:p>
    <w:p w14:paraId="617F89BC" w14:textId="77777777" w:rsidR="00661E36" w:rsidRPr="00661E36" w:rsidRDefault="00661E36" w:rsidP="006666F0">
      <w:pPr>
        <w:pStyle w:val="ListParagraph"/>
        <w:numPr>
          <w:ilvl w:val="0"/>
          <w:numId w:val="22"/>
        </w:numPr>
        <w:spacing w:after="200"/>
        <w:jc w:val="both"/>
        <w:rPr>
          <w:rFonts w:cs="Arial"/>
          <w:sz w:val="20"/>
          <w:szCs w:val="20"/>
        </w:rPr>
      </w:pPr>
      <w:r w:rsidRPr="00661E36">
        <w:rPr>
          <w:rFonts w:ascii="Arial" w:hAnsi="Arial" w:cs="Arial"/>
          <w:sz w:val="20"/>
          <w:szCs w:val="20"/>
        </w:rPr>
        <w:t>Comparing the Wattage Bin and Lumen Bin methods, the Lumen Bins method is more effective in recognizing the service provided in the volume of light output. In either case, the Wattage or Lumen value jumps by an average of 30% with each bin, but with the Wattage Bin method there is an added variation by efficacy between products at a given wattage: 7.3% for products within the 130 – 139.5 LPW tier. This means that some products in a lower wattage bin outperform products in a higher wattage bin due to the efficacy difference.</w:t>
      </w:r>
    </w:p>
    <w:p w14:paraId="7C754BC3" w14:textId="77777777" w:rsidR="00661E36" w:rsidRPr="00661E36" w:rsidRDefault="00661E36" w:rsidP="006666F0">
      <w:pPr>
        <w:pStyle w:val="ListParagraph"/>
        <w:numPr>
          <w:ilvl w:val="0"/>
          <w:numId w:val="22"/>
        </w:numPr>
        <w:spacing w:after="200"/>
        <w:jc w:val="both"/>
        <w:rPr>
          <w:rFonts w:ascii="Arial" w:hAnsi="Arial" w:cs="Arial"/>
          <w:sz w:val="20"/>
          <w:szCs w:val="20"/>
        </w:rPr>
      </w:pPr>
      <w:r w:rsidRPr="00661E36">
        <w:rPr>
          <w:rFonts w:ascii="Arial" w:hAnsi="Arial" w:cs="Arial"/>
          <w:sz w:val="20"/>
          <w:szCs w:val="20"/>
        </w:rPr>
        <w:t xml:space="preserve">Using lumen bins rather than binning by wattage encourages customers to directly compare a 130 LPW LED luminaire to higher efficacy tiers because the bins are the same in all tiers, rather than requiring comparisons across both efficacy and wattage-bin differences. </w:t>
      </w:r>
    </w:p>
    <w:p w14:paraId="3AE87772" w14:textId="5C00039B" w:rsidR="00661E36" w:rsidRPr="00EA304C" w:rsidRDefault="00661E36" w:rsidP="006666F0">
      <w:pPr>
        <w:pStyle w:val="ListParagraph"/>
        <w:numPr>
          <w:ilvl w:val="0"/>
          <w:numId w:val="22"/>
        </w:numPr>
        <w:spacing w:after="200"/>
        <w:jc w:val="both"/>
        <w:rPr>
          <w:rFonts w:ascii="Arial" w:hAnsi="Arial" w:cs="Arial"/>
          <w:sz w:val="20"/>
          <w:szCs w:val="20"/>
        </w:rPr>
      </w:pPr>
      <w:r w:rsidRPr="00661E36">
        <w:rPr>
          <w:rFonts w:ascii="Arial" w:hAnsi="Arial" w:cs="Arial"/>
          <w:sz w:val="20"/>
          <w:szCs w:val="20"/>
        </w:rPr>
        <w:t xml:space="preserve">In the Wattage Bin method, the range of wattages comparable to a </w:t>
      </w:r>
      <w:r w:rsidR="008403D1">
        <w:rPr>
          <w:rFonts w:ascii="Arial" w:hAnsi="Arial" w:cs="Arial"/>
          <w:sz w:val="20"/>
          <w:szCs w:val="20"/>
        </w:rPr>
        <w:t>4-</w:t>
      </w:r>
      <w:r w:rsidRPr="00661E36">
        <w:rPr>
          <w:rFonts w:ascii="Arial" w:hAnsi="Arial" w:cs="Arial"/>
          <w:sz w:val="20"/>
          <w:szCs w:val="20"/>
        </w:rPr>
        <w:t xml:space="preserve">lamp fluorescent fixture might be 78W to 104W in the 105LPW tier, but 71W to 93W in the 150 LPW tier. This makes the tier structure using wattage as a primary reference more complicated for customers at first glance. The lumen bin structure makes it easier to see that rebates for a </w:t>
      </w:r>
      <w:r w:rsidRPr="00EA304C">
        <w:rPr>
          <w:rFonts w:ascii="Arial" w:hAnsi="Arial" w:cs="Arial"/>
          <w:sz w:val="20"/>
          <w:szCs w:val="20"/>
        </w:rPr>
        <w:t xml:space="preserve">given output product will increase with efficacy. </w:t>
      </w:r>
    </w:p>
    <w:p w14:paraId="2D2394A8" w14:textId="01A6A8FD" w:rsidR="00EA304C" w:rsidRPr="00EA304C" w:rsidRDefault="00EA304C" w:rsidP="00EA304C">
      <w:pPr>
        <w:jc w:val="both"/>
        <w:rPr>
          <w:rFonts w:ascii="Arial" w:hAnsi="Arial" w:cs="Arial"/>
          <w:sz w:val="20"/>
          <w:szCs w:val="20"/>
        </w:rPr>
      </w:pPr>
      <w:r w:rsidRPr="00EA304C">
        <w:rPr>
          <w:rFonts w:ascii="Arial" w:hAnsi="Arial" w:cs="Arial"/>
          <w:sz w:val="20"/>
          <w:szCs w:val="20"/>
        </w:rPr>
        <w:t xml:space="preserve">Using the lumen bin approach that identifies a lumen range for each base case that LED products will replace and to create efficacy tiers, where the higher efficacy tiers will offer higher incentives. This approach is similar to the approach used for A-lamps in PGECOLTG165. The lumen bins will be sized according to fluorescent luminaire configurations offered in high-bay and low-bay lighting. The lumen bin approach is the most natural as we are asking customers to consider lumen equivalency in their choice to upgrade to more efficient technology. </w:t>
      </w:r>
    </w:p>
    <w:p w14:paraId="7E6FAD64" w14:textId="77777777" w:rsidR="00EA304C" w:rsidRPr="00EA304C" w:rsidRDefault="00EA304C" w:rsidP="00EA304C">
      <w:pPr>
        <w:jc w:val="both"/>
        <w:rPr>
          <w:rFonts w:ascii="Arial" w:hAnsi="Arial" w:cs="Arial"/>
          <w:sz w:val="20"/>
          <w:szCs w:val="20"/>
        </w:rPr>
      </w:pPr>
    </w:p>
    <w:p w14:paraId="490ABD75" w14:textId="10C147A0" w:rsidR="00EA304C" w:rsidRPr="00EA304C" w:rsidRDefault="00EA304C" w:rsidP="00EA304C">
      <w:pPr>
        <w:jc w:val="both"/>
        <w:rPr>
          <w:rFonts w:ascii="Arial" w:hAnsi="Arial" w:cs="Arial"/>
          <w:sz w:val="20"/>
          <w:szCs w:val="20"/>
        </w:rPr>
      </w:pPr>
      <w:r w:rsidRPr="00EA304C">
        <w:rPr>
          <w:rFonts w:ascii="Arial" w:hAnsi="Arial" w:cs="Arial"/>
          <w:sz w:val="20"/>
          <w:szCs w:val="20"/>
        </w:rPr>
        <w:t>For example</w:t>
      </w:r>
      <w:r>
        <w:rPr>
          <w:rFonts w:ascii="Arial" w:hAnsi="Arial" w:cs="Arial"/>
          <w:sz w:val="20"/>
          <w:szCs w:val="20"/>
        </w:rPr>
        <w:t>,</w:t>
      </w:r>
      <w:r w:rsidRPr="00EA304C">
        <w:rPr>
          <w:rFonts w:ascii="Arial" w:hAnsi="Arial" w:cs="Arial"/>
          <w:sz w:val="20"/>
          <w:szCs w:val="20"/>
        </w:rPr>
        <w:t xml:space="preserve"> a customer considering a low-bay product from the rebate catalog will see the following:</w:t>
      </w:r>
    </w:p>
    <w:p w14:paraId="6ECA3C10" w14:textId="77777777" w:rsidR="00EA304C" w:rsidRPr="00EA304C" w:rsidRDefault="00EA304C" w:rsidP="00EA304C">
      <w:pPr>
        <w:jc w:val="both"/>
        <w:rPr>
          <w:rFonts w:ascii="Arial" w:hAnsi="Arial" w:cs="Arial"/>
          <w:sz w:val="20"/>
          <w:szCs w:val="20"/>
        </w:rPr>
      </w:pPr>
    </w:p>
    <w:p w14:paraId="429F4A48" w14:textId="6C955EA7" w:rsidR="00EA304C" w:rsidRPr="00EA304C" w:rsidRDefault="00EA304C" w:rsidP="0038775F">
      <w:pPr>
        <w:pStyle w:val="Caption"/>
        <w:keepNext/>
        <w:jc w:val="center"/>
        <w:rPr>
          <w:rFonts w:ascii="Arial" w:hAnsi="Arial" w:cs="Arial"/>
        </w:rPr>
      </w:pPr>
      <w:bookmarkStart w:id="137" w:name="_Toc511244279"/>
      <w:bookmarkStart w:id="138" w:name="_Toc511244304"/>
      <w:bookmarkStart w:id="139" w:name="_Toc511244923"/>
      <w:r w:rsidRPr="00EA304C">
        <w:rPr>
          <w:rFonts w:ascii="Arial" w:hAnsi="Arial" w:cs="Arial"/>
        </w:rPr>
        <w:t xml:space="preserve">Table </w:t>
      </w:r>
      <w:r w:rsidRPr="1AA8F051">
        <w:fldChar w:fldCharType="begin"/>
      </w:r>
      <w:r w:rsidRPr="00EA304C">
        <w:rPr>
          <w:rFonts w:ascii="Arial" w:hAnsi="Arial" w:cs="Arial"/>
        </w:rPr>
        <w:instrText xml:space="preserve"> SEQ Table \* ARABIC </w:instrText>
      </w:r>
      <w:r w:rsidRPr="1AA8F051">
        <w:rPr>
          <w:rFonts w:ascii="Arial" w:hAnsi="Arial" w:cs="Arial"/>
        </w:rPr>
        <w:fldChar w:fldCharType="separate"/>
      </w:r>
      <w:r w:rsidR="00E94C25">
        <w:rPr>
          <w:rFonts w:ascii="Arial" w:hAnsi="Arial" w:cs="Arial"/>
          <w:noProof/>
        </w:rPr>
        <w:t>14</w:t>
      </w:r>
      <w:r w:rsidRPr="1AA8F051">
        <w:fldChar w:fldCharType="end"/>
      </w:r>
      <w:r w:rsidR="0038775F">
        <w:rPr>
          <w:rFonts w:ascii="Arial" w:hAnsi="Arial" w:cs="Arial"/>
        </w:rPr>
        <w:t xml:space="preserve"> – Rebate Catalog Example if Using Lumen Bins and Efficacy</w:t>
      </w:r>
      <w:bookmarkEnd w:id="137"/>
      <w:bookmarkEnd w:id="138"/>
      <w:bookmarkEnd w:id="139"/>
    </w:p>
    <w:tbl>
      <w:tblPr>
        <w:tblW w:w="7422" w:type="dxa"/>
        <w:tblInd w:w="1326" w:type="dxa"/>
        <w:tblCellMar>
          <w:left w:w="0" w:type="dxa"/>
          <w:right w:w="0" w:type="dxa"/>
        </w:tblCellMar>
        <w:tblLook w:val="04A0" w:firstRow="1" w:lastRow="0" w:firstColumn="1" w:lastColumn="0" w:noHBand="0" w:noVBand="1"/>
      </w:tblPr>
      <w:tblGrid>
        <w:gridCol w:w="1195"/>
        <w:gridCol w:w="1159"/>
        <w:gridCol w:w="1710"/>
        <w:gridCol w:w="1530"/>
        <w:gridCol w:w="1828"/>
      </w:tblGrid>
      <w:tr w:rsidR="00EA304C" w:rsidRPr="00EA304C" w14:paraId="1D0EAC61" w14:textId="77777777" w:rsidTr="00331F75">
        <w:trPr>
          <w:trHeight w:val="288"/>
        </w:trPr>
        <w:tc>
          <w:tcPr>
            <w:tcW w:w="119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3C1315D5" w14:textId="77777777" w:rsidR="00EA304C" w:rsidRPr="00EA304C" w:rsidRDefault="00EA304C" w:rsidP="00331F75">
            <w:pPr>
              <w:rPr>
                <w:rFonts w:ascii="Arial" w:eastAsiaTheme="minorEastAsia" w:hAnsi="Arial"/>
                <w:sz w:val="20"/>
              </w:rPr>
            </w:pPr>
            <w:r w:rsidRPr="1AA8F051">
              <w:rPr>
                <w:rFonts w:ascii="Arial" w:hAnsi="Arial"/>
                <w:b/>
                <w:color w:val="000000" w:themeColor="text1"/>
                <w:sz w:val="20"/>
              </w:rPr>
              <w:t>Measure Code</w:t>
            </w:r>
          </w:p>
        </w:tc>
        <w:tc>
          <w:tcPr>
            <w:tcW w:w="1159"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43396E89" w14:textId="77777777" w:rsidR="00EA304C" w:rsidRPr="00EA304C" w:rsidRDefault="00EA304C" w:rsidP="00331F75">
            <w:pPr>
              <w:rPr>
                <w:rFonts w:ascii="Arial" w:eastAsiaTheme="minorEastAsia" w:hAnsi="Arial"/>
                <w:b/>
                <w:sz w:val="20"/>
              </w:rPr>
            </w:pPr>
            <w:r w:rsidRPr="00EA304C">
              <w:rPr>
                <w:rFonts w:ascii="Arial" w:hAnsi="Arial" w:cs="Arial"/>
                <w:b/>
                <w:sz w:val="20"/>
                <w:szCs w:val="20"/>
              </w:rPr>
              <w:t>Min Lumen</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5255AA" w14:textId="77777777" w:rsidR="00EA304C" w:rsidRPr="00EA304C" w:rsidRDefault="00EA304C" w:rsidP="00331F75">
            <w:pPr>
              <w:rPr>
                <w:rFonts w:ascii="Arial" w:eastAsiaTheme="minorEastAsia" w:hAnsi="Arial"/>
                <w:b/>
                <w:sz w:val="20"/>
              </w:rPr>
            </w:pPr>
            <w:r w:rsidRPr="00EA304C">
              <w:rPr>
                <w:rFonts w:ascii="Arial" w:hAnsi="Arial" w:cs="Arial"/>
                <w:b/>
                <w:sz w:val="20"/>
                <w:szCs w:val="20"/>
              </w:rPr>
              <w:t>Max Lumen</w:t>
            </w:r>
          </w:p>
        </w:tc>
        <w:tc>
          <w:tcPr>
            <w:tcW w:w="1530" w:type="dxa"/>
            <w:tcBorders>
              <w:top w:val="single" w:sz="8" w:space="0" w:color="auto"/>
              <w:left w:val="nil"/>
              <w:bottom w:val="single" w:sz="8" w:space="0" w:color="auto"/>
              <w:right w:val="single" w:sz="8" w:space="0" w:color="auto"/>
            </w:tcBorders>
          </w:tcPr>
          <w:p w14:paraId="2AAD10B5" w14:textId="77777777" w:rsidR="00EA304C" w:rsidRPr="00EA304C" w:rsidRDefault="00EA304C" w:rsidP="00331F75">
            <w:pPr>
              <w:rPr>
                <w:rFonts w:ascii="Arial" w:hAnsi="Arial" w:cs="Arial"/>
                <w:b/>
                <w:bCs/>
                <w:color w:val="000000"/>
                <w:sz w:val="20"/>
                <w:szCs w:val="20"/>
              </w:rPr>
            </w:pPr>
            <w:r w:rsidRPr="1AA8F051">
              <w:rPr>
                <w:rFonts w:ascii="Arial" w:hAnsi="Arial"/>
                <w:b/>
                <w:color w:val="000000" w:themeColor="text1"/>
                <w:sz w:val="20"/>
              </w:rPr>
              <w:t>LED efficacy tier (lm/W)</w:t>
            </w:r>
          </w:p>
        </w:tc>
        <w:tc>
          <w:tcPr>
            <w:tcW w:w="1828" w:type="dxa"/>
            <w:tcBorders>
              <w:top w:val="single" w:sz="8" w:space="0" w:color="auto"/>
              <w:left w:val="nil"/>
              <w:bottom w:val="single" w:sz="8" w:space="0" w:color="auto"/>
              <w:right w:val="single" w:sz="8" w:space="0" w:color="auto"/>
            </w:tcBorders>
          </w:tcPr>
          <w:p w14:paraId="4C66C133" w14:textId="77777777" w:rsidR="00EA304C" w:rsidRPr="00EA304C" w:rsidRDefault="00EA304C" w:rsidP="00331F75">
            <w:pPr>
              <w:rPr>
                <w:rFonts w:ascii="Arial" w:hAnsi="Arial" w:cs="Arial"/>
                <w:b/>
                <w:bCs/>
                <w:color w:val="000000"/>
                <w:sz w:val="20"/>
                <w:szCs w:val="20"/>
              </w:rPr>
            </w:pPr>
            <w:r w:rsidRPr="1AA8F051">
              <w:rPr>
                <w:rFonts w:ascii="Arial" w:hAnsi="Arial"/>
                <w:b/>
                <w:color w:val="000000" w:themeColor="text1"/>
                <w:sz w:val="20"/>
              </w:rPr>
              <w:t>Incentive available ($ / fixture)</w:t>
            </w:r>
          </w:p>
        </w:tc>
      </w:tr>
      <w:tr w:rsidR="00EA304C" w:rsidRPr="00EA304C" w14:paraId="11FF6161"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6F7B976" w14:textId="77777777" w:rsidR="00EA304C" w:rsidRPr="00EA304C" w:rsidRDefault="00EA304C" w:rsidP="00331F75">
            <w:pPr>
              <w:rPr>
                <w:rFonts w:ascii="Arial" w:eastAsiaTheme="minorEastAsia" w:hAnsi="Arial"/>
                <w:sz w:val="20"/>
              </w:rPr>
            </w:pPr>
            <w:r w:rsidRPr="00EA304C">
              <w:rPr>
                <w:rFonts w:ascii="Arial" w:hAnsi="Arial" w:cs="Arial"/>
                <w:sz w:val="20"/>
                <w:szCs w:val="20"/>
              </w:rPr>
              <w:t>1</w:t>
            </w:r>
          </w:p>
        </w:tc>
        <w:tc>
          <w:tcPr>
            <w:tcW w:w="1159" w:type="dxa"/>
            <w:tcBorders>
              <w:top w:val="nil"/>
              <w:left w:val="nil"/>
              <w:bottom w:val="single" w:sz="8" w:space="0" w:color="auto"/>
              <w:right w:val="single" w:sz="8" w:space="0" w:color="auto"/>
            </w:tcBorders>
            <w:noWrap/>
            <w:tcMar>
              <w:top w:w="0" w:type="dxa"/>
              <w:left w:w="108" w:type="dxa"/>
              <w:bottom w:w="0" w:type="dxa"/>
              <w:right w:w="108" w:type="dxa"/>
            </w:tcMar>
            <w:hideMark/>
          </w:tcPr>
          <w:p w14:paraId="7892D4DB" w14:textId="77777777" w:rsidR="00EA304C" w:rsidRPr="00EA304C" w:rsidRDefault="00EA304C" w:rsidP="00331F75">
            <w:pPr>
              <w:rPr>
                <w:rFonts w:ascii="Arial" w:eastAsiaTheme="minorEastAsia" w:hAnsi="Arial"/>
                <w:sz w:val="20"/>
              </w:rPr>
            </w:pPr>
            <w:r w:rsidRPr="00EA304C">
              <w:rPr>
                <w:rFonts w:ascii="Arial" w:hAnsi="Arial" w:cs="Arial"/>
                <w:sz w:val="20"/>
                <w:szCs w:val="20"/>
              </w:rPr>
              <w:t xml:space="preserve"> 4,500 </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hideMark/>
          </w:tcPr>
          <w:p w14:paraId="33FCD277" w14:textId="77777777" w:rsidR="00EA304C" w:rsidRPr="00EA304C" w:rsidRDefault="00EA304C" w:rsidP="00331F75">
            <w:pPr>
              <w:jc w:val="center"/>
              <w:rPr>
                <w:rFonts w:ascii="Arial" w:eastAsiaTheme="minorEastAsia" w:hAnsi="Arial"/>
                <w:sz w:val="20"/>
              </w:rPr>
            </w:pPr>
            <w:r w:rsidRPr="00EA304C">
              <w:rPr>
                <w:rFonts w:ascii="Arial" w:hAnsi="Arial" w:cs="Arial"/>
                <w:sz w:val="20"/>
                <w:szCs w:val="20"/>
              </w:rPr>
              <w:t>6,510</w:t>
            </w:r>
          </w:p>
        </w:tc>
        <w:tc>
          <w:tcPr>
            <w:tcW w:w="1530" w:type="dxa"/>
            <w:tcBorders>
              <w:top w:val="nil"/>
              <w:left w:val="nil"/>
              <w:bottom w:val="single" w:sz="8" w:space="0" w:color="auto"/>
              <w:right w:val="single" w:sz="8" w:space="0" w:color="auto"/>
            </w:tcBorders>
          </w:tcPr>
          <w:p w14:paraId="0522F148"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130</w:t>
            </w:r>
          </w:p>
        </w:tc>
        <w:tc>
          <w:tcPr>
            <w:tcW w:w="1828" w:type="dxa"/>
            <w:tcBorders>
              <w:top w:val="nil"/>
              <w:left w:val="nil"/>
              <w:bottom w:val="single" w:sz="8" w:space="0" w:color="auto"/>
              <w:right w:val="single" w:sz="8" w:space="0" w:color="auto"/>
            </w:tcBorders>
          </w:tcPr>
          <w:p w14:paraId="288F06AA"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W</w:t>
            </w:r>
          </w:p>
        </w:tc>
      </w:tr>
      <w:tr w:rsidR="00EA304C" w:rsidRPr="00EA304C" w14:paraId="0AB53DC6"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4793DE" w14:textId="77777777" w:rsidR="00EA304C" w:rsidRPr="00EA304C" w:rsidRDefault="00EA304C" w:rsidP="00331F75">
            <w:pPr>
              <w:rPr>
                <w:rFonts w:ascii="Arial" w:eastAsiaTheme="minorEastAsia" w:hAnsi="Arial"/>
                <w:sz w:val="20"/>
              </w:rPr>
            </w:pPr>
            <w:r w:rsidRPr="00EA304C">
              <w:rPr>
                <w:rFonts w:ascii="Arial" w:hAnsi="Arial" w:cs="Arial"/>
                <w:sz w:val="20"/>
                <w:szCs w:val="20"/>
              </w:rPr>
              <w:t>2</w:t>
            </w:r>
          </w:p>
        </w:tc>
        <w:tc>
          <w:tcPr>
            <w:tcW w:w="1159" w:type="dxa"/>
            <w:tcBorders>
              <w:top w:val="nil"/>
              <w:left w:val="nil"/>
              <w:bottom w:val="single" w:sz="8" w:space="0" w:color="auto"/>
              <w:right w:val="single" w:sz="8" w:space="0" w:color="auto"/>
            </w:tcBorders>
            <w:noWrap/>
            <w:tcMar>
              <w:top w:w="0" w:type="dxa"/>
              <w:left w:w="108" w:type="dxa"/>
              <w:bottom w:w="0" w:type="dxa"/>
              <w:right w:w="108" w:type="dxa"/>
            </w:tcMar>
            <w:hideMark/>
          </w:tcPr>
          <w:p w14:paraId="0E006605" w14:textId="77777777" w:rsidR="00EA304C" w:rsidRPr="00EA304C" w:rsidRDefault="00EA304C" w:rsidP="00331F75">
            <w:pPr>
              <w:rPr>
                <w:rFonts w:ascii="Arial" w:eastAsiaTheme="minorEastAsia" w:hAnsi="Arial"/>
                <w:sz w:val="20"/>
              </w:rPr>
            </w:pPr>
            <w:r w:rsidRPr="00EA304C">
              <w:rPr>
                <w:rFonts w:ascii="Arial" w:hAnsi="Arial" w:cs="Arial"/>
                <w:sz w:val="20"/>
                <w:szCs w:val="20"/>
              </w:rPr>
              <w:t xml:space="preserve"> 6,511 </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hideMark/>
          </w:tcPr>
          <w:p w14:paraId="40569466" w14:textId="77777777" w:rsidR="00EA304C" w:rsidRPr="00EA304C" w:rsidRDefault="00EA304C" w:rsidP="00331F75">
            <w:pPr>
              <w:jc w:val="center"/>
              <w:rPr>
                <w:rFonts w:ascii="Arial" w:eastAsiaTheme="minorEastAsia" w:hAnsi="Arial"/>
                <w:sz w:val="20"/>
              </w:rPr>
            </w:pPr>
            <w:r w:rsidRPr="00EA304C">
              <w:rPr>
                <w:rFonts w:ascii="Arial" w:hAnsi="Arial" w:cs="Arial"/>
                <w:sz w:val="20"/>
                <w:szCs w:val="20"/>
              </w:rPr>
              <w:t>10,230</w:t>
            </w:r>
          </w:p>
        </w:tc>
        <w:tc>
          <w:tcPr>
            <w:tcW w:w="1530" w:type="dxa"/>
            <w:tcBorders>
              <w:top w:val="nil"/>
              <w:left w:val="nil"/>
              <w:bottom w:val="single" w:sz="8" w:space="0" w:color="auto"/>
              <w:right w:val="single" w:sz="8" w:space="0" w:color="auto"/>
            </w:tcBorders>
          </w:tcPr>
          <w:p w14:paraId="5487EAF0"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130</w:t>
            </w:r>
          </w:p>
        </w:tc>
        <w:tc>
          <w:tcPr>
            <w:tcW w:w="1828" w:type="dxa"/>
            <w:tcBorders>
              <w:top w:val="nil"/>
              <w:left w:val="nil"/>
              <w:bottom w:val="single" w:sz="8" w:space="0" w:color="auto"/>
              <w:right w:val="single" w:sz="8" w:space="0" w:color="auto"/>
            </w:tcBorders>
          </w:tcPr>
          <w:p w14:paraId="7D4CE9E0"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X</w:t>
            </w:r>
          </w:p>
        </w:tc>
      </w:tr>
      <w:tr w:rsidR="00EA304C" w:rsidRPr="00EA304C" w14:paraId="1D365853"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60F9118" w14:textId="77777777" w:rsidR="00EA304C" w:rsidRPr="00EA304C" w:rsidRDefault="00EA304C" w:rsidP="00331F75">
            <w:pPr>
              <w:rPr>
                <w:rFonts w:ascii="Arial" w:eastAsiaTheme="minorEastAsia" w:hAnsi="Arial"/>
                <w:sz w:val="20"/>
              </w:rPr>
            </w:pPr>
            <w:r w:rsidRPr="00EA304C">
              <w:rPr>
                <w:rFonts w:ascii="Arial" w:hAnsi="Arial" w:cs="Arial"/>
                <w:sz w:val="20"/>
                <w:szCs w:val="20"/>
              </w:rPr>
              <w:t>…</w:t>
            </w:r>
          </w:p>
        </w:tc>
        <w:tc>
          <w:tcPr>
            <w:tcW w:w="1159" w:type="dxa"/>
            <w:tcBorders>
              <w:top w:val="nil"/>
              <w:left w:val="nil"/>
              <w:bottom w:val="single" w:sz="8" w:space="0" w:color="auto"/>
              <w:right w:val="single" w:sz="8" w:space="0" w:color="auto"/>
            </w:tcBorders>
            <w:noWrap/>
            <w:tcMar>
              <w:top w:w="0" w:type="dxa"/>
              <w:left w:w="108" w:type="dxa"/>
              <w:bottom w:w="0" w:type="dxa"/>
              <w:right w:w="108" w:type="dxa"/>
            </w:tcMar>
          </w:tcPr>
          <w:p w14:paraId="7E3E4073" w14:textId="77777777" w:rsidR="00EA304C" w:rsidRPr="00EA304C" w:rsidRDefault="00EA304C" w:rsidP="00331F75">
            <w:pPr>
              <w:rPr>
                <w:rFonts w:ascii="Arial" w:eastAsiaTheme="minorHAnsi" w:hAnsi="Arial" w:cs="Arial"/>
                <w:sz w:val="20"/>
                <w:szCs w:val="20"/>
              </w:rPr>
            </w:pPr>
          </w:p>
        </w:tc>
        <w:tc>
          <w:tcPr>
            <w:tcW w:w="1710" w:type="dxa"/>
            <w:tcBorders>
              <w:top w:val="nil"/>
              <w:left w:val="nil"/>
              <w:bottom w:val="single" w:sz="8" w:space="0" w:color="auto"/>
              <w:right w:val="single" w:sz="8" w:space="0" w:color="auto"/>
            </w:tcBorders>
            <w:noWrap/>
            <w:tcMar>
              <w:top w:w="0" w:type="dxa"/>
              <w:left w:w="108" w:type="dxa"/>
              <w:bottom w:w="0" w:type="dxa"/>
              <w:right w:w="108" w:type="dxa"/>
            </w:tcMar>
          </w:tcPr>
          <w:p w14:paraId="353B69D9" w14:textId="77777777" w:rsidR="00EA304C" w:rsidRPr="00EA304C" w:rsidRDefault="00EA304C" w:rsidP="00331F75">
            <w:pPr>
              <w:jc w:val="center"/>
              <w:rPr>
                <w:rFonts w:ascii="Arial" w:eastAsiaTheme="minorHAnsi" w:hAnsi="Arial" w:cs="Arial"/>
                <w:sz w:val="20"/>
                <w:szCs w:val="20"/>
              </w:rPr>
            </w:pPr>
          </w:p>
        </w:tc>
        <w:tc>
          <w:tcPr>
            <w:tcW w:w="1530" w:type="dxa"/>
            <w:tcBorders>
              <w:top w:val="nil"/>
              <w:left w:val="nil"/>
              <w:bottom w:val="single" w:sz="8" w:space="0" w:color="auto"/>
              <w:right w:val="single" w:sz="8" w:space="0" w:color="auto"/>
            </w:tcBorders>
          </w:tcPr>
          <w:p w14:paraId="43587D3A" w14:textId="77777777" w:rsidR="00EA304C" w:rsidRPr="00EA304C" w:rsidRDefault="00EA304C" w:rsidP="00331F75">
            <w:pPr>
              <w:jc w:val="center"/>
              <w:rPr>
                <w:rFonts w:ascii="Arial" w:hAnsi="Arial" w:cs="Arial"/>
                <w:color w:val="000000"/>
                <w:sz w:val="20"/>
                <w:szCs w:val="20"/>
              </w:rPr>
            </w:pPr>
          </w:p>
        </w:tc>
        <w:tc>
          <w:tcPr>
            <w:tcW w:w="1828" w:type="dxa"/>
            <w:tcBorders>
              <w:top w:val="nil"/>
              <w:left w:val="nil"/>
              <w:bottom w:val="single" w:sz="8" w:space="0" w:color="auto"/>
              <w:right w:val="single" w:sz="8" w:space="0" w:color="auto"/>
            </w:tcBorders>
          </w:tcPr>
          <w:p w14:paraId="34C8FA47" w14:textId="77777777" w:rsidR="00EA304C" w:rsidRPr="00EA304C" w:rsidRDefault="00EA304C" w:rsidP="00331F75">
            <w:pPr>
              <w:jc w:val="center"/>
              <w:rPr>
                <w:rFonts w:ascii="Arial" w:hAnsi="Arial" w:cs="Arial"/>
                <w:color w:val="000000"/>
                <w:sz w:val="20"/>
                <w:szCs w:val="20"/>
              </w:rPr>
            </w:pPr>
          </w:p>
        </w:tc>
      </w:tr>
      <w:tr w:rsidR="00EA304C" w:rsidRPr="00EA304C" w14:paraId="636580FB"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48E73C85" w14:textId="77777777" w:rsidR="00EA304C" w:rsidRPr="00EA304C" w:rsidRDefault="00EA304C" w:rsidP="00331F75">
            <w:pPr>
              <w:rPr>
                <w:rFonts w:ascii="Arial" w:hAnsi="Arial" w:cs="Arial"/>
                <w:sz w:val="20"/>
                <w:szCs w:val="20"/>
              </w:rPr>
            </w:pPr>
            <w:r w:rsidRPr="00EA304C">
              <w:rPr>
                <w:rFonts w:ascii="Arial" w:hAnsi="Arial" w:cs="Arial"/>
                <w:sz w:val="20"/>
                <w:szCs w:val="20"/>
              </w:rPr>
              <w:t>9</w:t>
            </w:r>
          </w:p>
        </w:tc>
        <w:tc>
          <w:tcPr>
            <w:tcW w:w="1159" w:type="dxa"/>
            <w:tcBorders>
              <w:top w:val="nil"/>
              <w:left w:val="nil"/>
              <w:bottom w:val="single" w:sz="8" w:space="0" w:color="auto"/>
              <w:right w:val="single" w:sz="8" w:space="0" w:color="auto"/>
            </w:tcBorders>
            <w:noWrap/>
            <w:tcMar>
              <w:top w:w="0" w:type="dxa"/>
              <w:left w:w="108" w:type="dxa"/>
              <w:bottom w:w="0" w:type="dxa"/>
              <w:right w:w="108" w:type="dxa"/>
            </w:tcMar>
          </w:tcPr>
          <w:p w14:paraId="6A09A862" w14:textId="77777777" w:rsidR="00EA304C" w:rsidRPr="00EA304C" w:rsidRDefault="00EA304C" w:rsidP="00331F75">
            <w:pPr>
              <w:rPr>
                <w:rFonts w:ascii="Arial" w:hAnsi="Arial" w:cs="Arial"/>
                <w:sz w:val="20"/>
                <w:szCs w:val="20"/>
              </w:rPr>
            </w:pPr>
            <w:r w:rsidRPr="00EA304C">
              <w:rPr>
                <w:rFonts w:ascii="Arial" w:hAnsi="Arial" w:cs="Arial"/>
                <w:sz w:val="20"/>
                <w:szCs w:val="20"/>
              </w:rPr>
              <w:t xml:space="preserve"> 4,500 </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tcPr>
          <w:p w14:paraId="0F8DB14A" w14:textId="77777777" w:rsidR="00EA304C" w:rsidRPr="00EA304C" w:rsidRDefault="00EA304C" w:rsidP="00331F75">
            <w:pPr>
              <w:jc w:val="center"/>
              <w:rPr>
                <w:rFonts w:ascii="Arial" w:hAnsi="Arial" w:cs="Arial"/>
                <w:sz w:val="20"/>
                <w:szCs w:val="20"/>
              </w:rPr>
            </w:pPr>
            <w:r w:rsidRPr="00EA304C">
              <w:rPr>
                <w:rFonts w:ascii="Arial" w:hAnsi="Arial" w:cs="Arial"/>
                <w:sz w:val="20"/>
                <w:szCs w:val="20"/>
              </w:rPr>
              <w:t>6,510</w:t>
            </w:r>
          </w:p>
        </w:tc>
        <w:tc>
          <w:tcPr>
            <w:tcW w:w="1530" w:type="dxa"/>
            <w:tcBorders>
              <w:top w:val="nil"/>
              <w:left w:val="nil"/>
              <w:bottom w:val="single" w:sz="8" w:space="0" w:color="auto"/>
              <w:right w:val="single" w:sz="8" w:space="0" w:color="auto"/>
            </w:tcBorders>
          </w:tcPr>
          <w:p w14:paraId="49D716C2"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140</w:t>
            </w:r>
          </w:p>
        </w:tc>
        <w:tc>
          <w:tcPr>
            <w:tcW w:w="1828" w:type="dxa"/>
            <w:tcBorders>
              <w:top w:val="nil"/>
              <w:left w:val="nil"/>
              <w:bottom w:val="single" w:sz="8" w:space="0" w:color="auto"/>
              <w:right w:val="single" w:sz="8" w:space="0" w:color="auto"/>
            </w:tcBorders>
          </w:tcPr>
          <w:p w14:paraId="5B90F721" w14:textId="77777777" w:rsidR="00EA304C" w:rsidRPr="00EA304C" w:rsidRDefault="00EA304C" w:rsidP="00331F75">
            <w:pPr>
              <w:jc w:val="center"/>
              <w:rPr>
                <w:rFonts w:ascii="Arial" w:hAnsi="Arial" w:cs="Arial"/>
                <w:sz w:val="20"/>
                <w:szCs w:val="20"/>
              </w:rPr>
            </w:pPr>
            <w:r w:rsidRPr="00EA304C">
              <w:rPr>
                <w:rFonts w:ascii="Arial" w:hAnsi="Arial" w:cs="Arial"/>
                <w:sz w:val="20"/>
                <w:szCs w:val="20"/>
              </w:rPr>
              <w:t>Y</w:t>
            </w:r>
          </w:p>
        </w:tc>
      </w:tr>
      <w:tr w:rsidR="00EA304C" w:rsidRPr="00EA304C" w14:paraId="36A7BAAF" w14:textId="77777777" w:rsidTr="00331F75">
        <w:trPr>
          <w:trHeight w:val="288"/>
        </w:trPr>
        <w:tc>
          <w:tcPr>
            <w:tcW w:w="119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8120EC6" w14:textId="77777777" w:rsidR="00EA304C" w:rsidRPr="00EA304C" w:rsidRDefault="00EA304C" w:rsidP="00331F75">
            <w:pPr>
              <w:rPr>
                <w:rFonts w:ascii="Arial" w:eastAsiaTheme="minorEastAsia" w:hAnsi="Arial"/>
                <w:sz w:val="20"/>
              </w:rPr>
            </w:pPr>
            <w:r w:rsidRPr="00EA304C">
              <w:rPr>
                <w:rFonts w:ascii="Arial" w:hAnsi="Arial" w:cs="Arial"/>
                <w:sz w:val="20"/>
                <w:szCs w:val="20"/>
              </w:rPr>
              <w:t>10</w:t>
            </w:r>
          </w:p>
        </w:tc>
        <w:tc>
          <w:tcPr>
            <w:tcW w:w="1159" w:type="dxa"/>
            <w:tcBorders>
              <w:top w:val="nil"/>
              <w:left w:val="nil"/>
              <w:bottom w:val="single" w:sz="8" w:space="0" w:color="auto"/>
              <w:right w:val="single" w:sz="8" w:space="0" w:color="auto"/>
            </w:tcBorders>
            <w:noWrap/>
            <w:tcMar>
              <w:top w:w="0" w:type="dxa"/>
              <w:left w:w="108" w:type="dxa"/>
              <w:bottom w:w="0" w:type="dxa"/>
              <w:right w:w="108" w:type="dxa"/>
            </w:tcMar>
            <w:hideMark/>
          </w:tcPr>
          <w:p w14:paraId="77CDA9DA" w14:textId="77777777" w:rsidR="00EA304C" w:rsidRPr="00EA304C" w:rsidRDefault="00EA304C" w:rsidP="00331F75">
            <w:pPr>
              <w:rPr>
                <w:rFonts w:ascii="Arial" w:eastAsiaTheme="minorEastAsia" w:hAnsi="Arial"/>
                <w:sz w:val="20"/>
              </w:rPr>
            </w:pPr>
            <w:r w:rsidRPr="00EA304C">
              <w:rPr>
                <w:rFonts w:ascii="Arial" w:hAnsi="Arial" w:cs="Arial"/>
                <w:sz w:val="20"/>
                <w:szCs w:val="20"/>
              </w:rPr>
              <w:t xml:space="preserve"> 6,511 </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hideMark/>
          </w:tcPr>
          <w:p w14:paraId="27FA0DED" w14:textId="77777777" w:rsidR="00EA304C" w:rsidRPr="00EA304C" w:rsidRDefault="00EA304C" w:rsidP="00331F75">
            <w:pPr>
              <w:jc w:val="center"/>
              <w:rPr>
                <w:rFonts w:ascii="Arial" w:eastAsiaTheme="minorEastAsia" w:hAnsi="Arial"/>
                <w:sz w:val="20"/>
              </w:rPr>
            </w:pPr>
            <w:r w:rsidRPr="00EA304C">
              <w:rPr>
                <w:rFonts w:ascii="Arial" w:hAnsi="Arial" w:cs="Arial"/>
                <w:sz w:val="20"/>
                <w:szCs w:val="20"/>
              </w:rPr>
              <w:t>10,230</w:t>
            </w:r>
          </w:p>
        </w:tc>
        <w:tc>
          <w:tcPr>
            <w:tcW w:w="1530" w:type="dxa"/>
            <w:tcBorders>
              <w:top w:val="nil"/>
              <w:left w:val="nil"/>
              <w:bottom w:val="single" w:sz="8" w:space="0" w:color="auto"/>
              <w:right w:val="single" w:sz="8" w:space="0" w:color="auto"/>
            </w:tcBorders>
          </w:tcPr>
          <w:p w14:paraId="3EF50F25"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140</w:t>
            </w:r>
          </w:p>
        </w:tc>
        <w:tc>
          <w:tcPr>
            <w:tcW w:w="1828" w:type="dxa"/>
            <w:tcBorders>
              <w:top w:val="nil"/>
              <w:left w:val="nil"/>
              <w:bottom w:val="single" w:sz="8" w:space="0" w:color="auto"/>
              <w:right w:val="single" w:sz="8" w:space="0" w:color="auto"/>
            </w:tcBorders>
          </w:tcPr>
          <w:p w14:paraId="5A52D44F" w14:textId="77777777" w:rsidR="00EA304C" w:rsidRPr="00EA304C" w:rsidRDefault="00EA304C" w:rsidP="00331F75">
            <w:pPr>
              <w:jc w:val="center"/>
              <w:rPr>
                <w:rFonts w:ascii="Arial" w:hAnsi="Arial" w:cs="Arial"/>
                <w:color w:val="000000"/>
                <w:sz w:val="20"/>
                <w:szCs w:val="20"/>
              </w:rPr>
            </w:pPr>
            <w:r w:rsidRPr="1AA8F051">
              <w:rPr>
                <w:rFonts w:ascii="Arial" w:hAnsi="Arial"/>
                <w:color w:val="000000" w:themeColor="text1"/>
                <w:sz w:val="20"/>
              </w:rPr>
              <w:t>Z</w:t>
            </w:r>
          </w:p>
        </w:tc>
      </w:tr>
    </w:tbl>
    <w:p w14:paraId="1C2C2A5F" w14:textId="77777777" w:rsidR="00EA304C" w:rsidRPr="00EA304C" w:rsidRDefault="00EA304C" w:rsidP="00EA304C">
      <w:pPr>
        <w:jc w:val="both"/>
        <w:rPr>
          <w:rFonts w:ascii="Arial" w:hAnsi="Arial" w:cs="Arial"/>
          <w:sz w:val="20"/>
          <w:szCs w:val="20"/>
        </w:rPr>
      </w:pPr>
    </w:p>
    <w:p w14:paraId="5BB19933" w14:textId="5C1B3E26" w:rsidR="00EA304C" w:rsidRPr="00EA304C" w:rsidRDefault="00EA304C" w:rsidP="00EA304C">
      <w:pPr>
        <w:jc w:val="both"/>
        <w:rPr>
          <w:rFonts w:ascii="Arial" w:hAnsi="Arial" w:cs="Arial"/>
          <w:sz w:val="20"/>
          <w:szCs w:val="20"/>
        </w:rPr>
      </w:pPr>
      <w:r w:rsidRPr="00EA304C">
        <w:rPr>
          <w:rFonts w:ascii="Arial" w:hAnsi="Arial" w:cs="Arial"/>
          <w:sz w:val="20"/>
          <w:szCs w:val="20"/>
        </w:rPr>
        <w:t>The per-luminaire incentives listed and comparable across efficacy tiers will more easily provide support for higher-performing products.</w:t>
      </w:r>
    </w:p>
    <w:p w14:paraId="675B6926" w14:textId="77777777" w:rsidR="00661E36" w:rsidRPr="00EA304C" w:rsidRDefault="00661E36" w:rsidP="006E3439">
      <w:pPr>
        <w:rPr>
          <w:rFonts w:ascii="Arial" w:hAnsi="Arial" w:cs="Arial"/>
          <w:sz w:val="20"/>
          <w:szCs w:val="20"/>
        </w:rPr>
      </w:pPr>
    </w:p>
    <w:p w14:paraId="3284322D" w14:textId="0DD5241D" w:rsidR="00CF1DF8" w:rsidRDefault="00B0079A" w:rsidP="006E3439">
      <w:pPr>
        <w:rPr>
          <w:rFonts w:ascii="Arial" w:hAnsi="Arial" w:cs="Arial"/>
          <w:sz w:val="20"/>
          <w:szCs w:val="20"/>
        </w:rPr>
      </w:pPr>
      <w:r>
        <w:rPr>
          <w:rFonts w:ascii="Arial" w:hAnsi="Arial" w:cs="Arial"/>
          <w:b/>
          <w:sz w:val="20"/>
          <w:szCs w:val="20"/>
        </w:rPr>
        <w:t>Measure Tiers</w:t>
      </w:r>
      <w:r w:rsidRPr="00B0079A">
        <w:rPr>
          <w:rFonts w:ascii="Arial" w:hAnsi="Arial" w:cs="Arial"/>
          <w:b/>
          <w:sz w:val="20"/>
          <w:szCs w:val="20"/>
        </w:rPr>
        <w:t>:</w:t>
      </w:r>
      <w:r>
        <w:rPr>
          <w:rFonts w:ascii="Arial" w:hAnsi="Arial" w:cs="Arial"/>
          <w:sz w:val="20"/>
          <w:szCs w:val="20"/>
        </w:rPr>
        <w:t xml:space="preserve">  The measures are structured with two tiers.  </w:t>
      </w:r>
    </w:p>
    <w:p w14:paraId="3CB32630" w14:textId="296E2367" w:rsidR="00CF1DF8" w:rsidRDefault="00B0079A" w:rsidP="006666F0">
      <w:pPr>
        <w:pStyle w:val="ListParagraph"/>
        <w:numPr>
          <w:ilvl w:val="0"/>
          <w:numId w:val="21"/>
        </w:numPr>
        <w:rPr>
          <w:rFonts w:ascii="Arial" w:hAnsi="Arial" w:cs="Arial"/>
          <w:sz w:val="20"/>
          <w:szCs w:val="20"/>
        </w:rPr>
      </w:pPr>
      <w:r w:rsidRPr="00CF1DF8">
        <w:rPr>
          <w:rFonts w:ascii="Arial" w:hAnsi="Arial" w:cs="Arial"/>
          <w:sz w:val="20"/>
          <w:szCs w:val="20"/>
        </w:rPr>
        <w:t xml:space="preserve">Tier 1 contains lower efficacies floors than Tier 2 to accommodate </w:t>
      </w:r>
      <w:r w:rsidR="00CF1DF8" w:rsidRPr="00CF1DF8">
        <w:rPr>
          <w:rFonts w:ascii="Arial" w:hAnsi="Arial" w:cs="Arial"/>
          <w:sz w:val="20"/>
          <w:szCs w:val="20"/>
        </w:rPr>
        <w:t xml:space="preserve">current </w:t>
      </w:r>
      <w:r w:rsidRPr="00CF1DF8">
        <w:rPr>
          <w:rFonts w:ascii="Arial" w:hAnsi="Arial" w:cs="Arial"/>
          <w:sz w:val="20"/>
          <w:szCs w:val="20"/>
        </w:rPr>
        <w:t>project</w:t>
      </w:r>
      <w:r w:rsidR="00CF1DF8" w:rsidRPr="00CF1DF8">
        <w:rPr>
          <w:rFonts w:ascii="Arial" w:hAnsi="Arial" w:cs="Arial"/>
          <w:sz w:val="20"/>
          <w:szCs w:val="20"/>
        </w:rPr>
        <w:t xml:space="preserve">s in the pipeline.  The efficacy floor for Tier 1 was </w:t>
      </w:r>
      <w:r w:rsidR="0072055A">
        <w:rPr>
          <w:rFonts w:ascii="Arial" w:hAnsi="Arial" w:cs="Arial"/>
          <w:sz w:val="20"/>
          <w:szCs w:val="20"/>
        </w:rPr>
        <w:t>derived</w:t>
      </w:r>
      <w:r w:rsidR="00CF1DF8" w:rsidRPr="00CF1DF8">
        <w:rPr>
          <w:rFonts w:ascii="Arial" w:hAnsi="Arial" w:cs="Arial"/>
          <w:sz w:val="20"/>
          <w:szCs w:val="20"/>
        </w:rPr>
        <w:t xml:space="preserve"> from the 50</w:t>
      </w:r>
      <w:r w:rsidR="00CF1DF8" w:rsidRPr="00CF1DF8">
        <w:rPr>
          <w:rFonts w:ascii="Arial" w:hAnsi="Arial" w:cs="Arial"/>
          <w:sz w:val="20"/>
          <w:szCs w:val="20"/>
          <w:vertAlign w:val="superscript"/>
        </w:rPr>
        <w:t>th</w:t>
      </w:r>
      <w:r w:rsidR="00CF1DF8" w:rsidRPr="00CF1DF8">
        <w:rPr>
          <w:rFonts w:ascii="Arial" w:hAnsi="Arial" w:cs="Arial"/>
          <w:sz w:val="20"/>
          <w:szCs w:val="20"/>
        </w:rPr>
        <w:t xml:space="preserve"> percentile of the </w:t>
      </w:r>
      <w:r w:rsidR="002C3514" w:rsidRPr="00CF1DF8">
        <w:rPr>
          <w:rFonts w:ascii="Arial" w:hAnsi="Arial" w:cs="Arial"/>
          <w:sz w:val="20"/>
          <w:szCs w:val="20"/>
        </w:rPr>
        <w:t>Lighting Facts</w:t>
      </w:r>
      <w:r w:rsidR="00CF1DF8" w:rsidRPr="00CF1DF8">
        <w:rPr>
          <w:rFonts w:ascii="Arial" w:hAnsi="Arial" w:cs="Arial"/>
          <w:sz w:val="20"/>
          <w:szCs w:val="20"/>
        </w:rPr>
        <w:t xml:space="preserve"> database to </w:t>
      </w:r>
      <w:r w:rsidR="00CF1DF8" w:rsidRPr="00CF1DF8">
        <w:rPr>
          <w:rFonts w:ascii="Arial" w:hAnsi="Arial" w:cs="Arial"/>
          <w:sz w:val="20"/>
          <w:szCs w:val="20"/>
        </w:rPr>
        <w:lastRenderedPageBreak/>
        <w:t>represent top half of the market</w:t>
      </w:r>
      <w:r w:rsidR="002676A5">
        <w:rPr>
          <w:rFonts w:ascii="Arial" w:hAnsi="Arial" w:cs="Arial"/>
          <w:sz w:val="20"/>
          <w:szCs w:val="20"/>
        </w:rPr>
        <w:t xml:space="preserve"> and serve</w:t>
      </w:r>
      <w:r w:rsidR="0072055A">
        <w:rPr>
          <w:rFonts w:ascii="Arial" w:hAnsi="Arial" w:cs="Arial"/>
          <w:sz w:val="20"/>
          <w:szCs w:val="20"/>
        </w:rPr>
        <w:t>s as an eligibility requirement</w:t>
      </w:r>
      <w:r w:rsidR="00CF1DF8" w:rsidRPr="00CF1DF8">
        <w:rPr>
          <w:rFonts w:ascii="Arial" w:hAnsi="Arial" w:cs="Arial"/>
          <w:sz w:val="20"/>
          <w:szCs w:val="20"/>
        </w:rPr>
        <w:t xml:space="preserve">.  </w:t>
      </w:r>
      <w:r w:rsidR="00CF1DF8">
        <w:rPr>
          <w:rFonts w:ascii="Arial" w:hAnsi="Arial" w:cs="Arial"/>
          <w:sz w:val="20"/>
          <w:szCs w:val="20"/>
        </w:rPr>
        <w:t>The measure case efficacy</w:t>
      </w:r>
      <w:r w:rsidR="007E059E">
        <w:rPr>
          <w:rFonts w:ascii="Arial" w:hAnsi="Arial" w:cs="Arial"/>
          <w:sz w:val="20"/>
          <w:szCs w:val="20"/>
        </w:rPr>
        <w:t xml:space="preserve"> used in the savings calculations</w:t>
      </w:r>
      <w:r w:rsidR="00CF1DF8">
        <w:rPr>
          <w:rFonts w:ascii="Arial" w:hAnsi="Arial" w:cs="Arial"/>
          <w:sz w:val="20"/>
          <w:szCs w:val="20"/>
        </w:rPr>
        <w:t xml:space="preserve"> </w:t>
      </w:r>
      <w:r w:rsidR="007E059E">
        <w:rPr>
          <w:rFonts w:ascii="Arial" w:hAnsi="Arial" w:cs="Arial"/>
          <w:sz w:val="20"/>
          <w:szCs w:val="20"/>
        </w:rPr>
        <w:t>i</w:t>
      </w:r>
      <w:r w:rsidR="00CF1DF8">
        <w:rPr>
          <w:rFonts w:ascii="Arial" w:hAnsi="Arial" w:cs="Arial"/>
          <w:sz w:val="20"/>
          <w:szCs w:val="20"/>
        </w:rPr>
        <w:t>s the mid-point between the 50</w:t>
      </w:r>
      <w:r w:rsidR="00CF1DF8" w:rsidRPr="00CF1DF8">
        <w:rPr>
          <w:rFonts w:ascii="Arial" w:hAnsi="Arial" w:cs="Arial"/>
          <w:sz w:val="20"/>
          <w:szCs w:val="20"/>
          <w:vertAlign w:val="superscript"/>
        </w:rPr>
        <w:t>th</w:t>
      </w:r>
      <w:r w:rsidR="00CF1DF8">
        <w:rPr>
          <w:rFonts w:ascii="Arial" w:hAnsi="Arial" w:cs="Arial"/>
          <w:sz w:val="20"/>
          <w:szCs w:val="20"/>
        </w:rPr>
        <w:t xml:space="preserve"> and 75</w:t>
      </w:r>
      <w:r w:rsidR="00CF1DF8" w:rsidRPr="00CF1DF8">
        <w:rPr>
          <w:rFonts w:ascii="Arial" w:hAnsi="Arial" w:cs="Arial"/>
          <w:sz w:val="20"/>
          <w:szCs w:val="20"/>
          <w:vertAlign w:val="superscript"/>
        </w:rPr>
        <w:t>th</w:t>
      </w:r>
      <w:r w:rsidR="00CF1DF8">
        <w:rPr>
          <w:rFonts w:ascii="Arial" w:hAnsi="Arial" w:cs="Arial"/>
          <w:sz w:val="20"/>
          <w:szCs w:val="20"/>
        </w:rPr>
        <w:t xml:space="preserve"> </w:t>
      </w:r>
      <w:r w:rsidR="007E059E">
        <w:rPr>
          <w:rFonts w:ascii="Arial" w:hAnsi="Arial" w:cs="Arial"/>
          <w:sz w:val="20"/>
          <w:szCs w:val="20"/>
        </w:rPr>
        <w:t>percentile:  62</w:t>
      </w:r>
      <w:r w:rsidR="00CF1DF8">
        <w:rPr>
          <w:rFonts w:ascii="Arial" w:hAnsi="Arial" w:cs="Arial"/>
          <w:sz w:val="20"/>
          <w:szCs w:val="20"/>
        </w:rPr>
        <w:t>.5</w:t>
      </w:r>
      <w:r w:rsidR="00CF1DF8" w:rsidRPr="00CF1DF8">
        <w:rPr>
          <w:rFonts w:ascii="Arial" w:hAnsi="Arial" w:cs="Arial"/>
          <w:sz w:val="20"/>
          <w:szCs w:val="20"/>
          <w:vertAlign w:val="superscript"/>
        </w:rPr>
        <w:t>th</w:t>
      </w:r>
      <w:r w:rsidR="00CF1DF8">
        <w:rPr>
          <w:rFonts w:ascii="Arial" w:hAnsi="Arial" w:cs="Arial"/>
          <w:sz w:val="20"/>
          <w:szCs w:val="20"/>
        </w:rPr>
        <w:t xml:space="preserve"> percentil</w:t>
      </w:r>
      <w:r w:rsidR="00777139">
        <w:rPr>
          <w:rFonts w:ascii="Arial" w:hAnsi="Arial" w:cs="Arial"/>
          <w:sz w:val="20"/>
          <w:szCs w:val="20"/>
        </w:rPr>
        <w:t>e.</w:t>
      </w:r>
    </w:p>
    <w:p w14:paraId="5C6C34F3" w14:textId="39FAB469" w:rsidR="004306C2" w:rsidRPr="00CF1DF8" w:rsidRDefault="00CF1DF8" w:rsidP="006666F0">
      <w:pPr>
        <w:pStyle w:val="ListParagraph"/>
        <w:numPr>
          <w:ilvl w:val="0"/>
          <w:numId w:val="21"/>
        </w:numPr>
        <w:rPr>
          <w:rFonts w:ascii="Arial" w:hAnsi="Arial" w:cs="Arial"/>
          <w:sz w:val="20"/>
          <w:szCs w:val="20"/>
        </w:rPr>
      </w:pPr>
      <w:r w:rsidRPr="00CF1DF8">
        <w:rPr>
          <w:rFonts w:ascii="Arial" w:hAnsi="Arial" w:cs="Arial"/>
          <w:sz w:val="20"/>
          <w:szCs w:val="20"/>
        </w:rPr>
        <w:t>Tier 2 is the goal and focus for Programs to drive higher efficiency products into the market for market transformation.</w:t>
      </w:r>
      <w:r w:rsidR="0072055A">
        <w:rPr>
          <w:rFonts w:ascii="Arial" w:hAnsi="Arial" w:cs="Arial"/>
          <w:sz w:val="20"/>
          <w:szCs w:val="20"/>
        </w:rPr>
        <w:t xml:space="preserve">  The efficacy floor for Tier 2</w:t>
      </w:r>
      <w:r w:rsidRPr="00CF1DF8">
        <w:rPr>
          <w:rFonts w:ascii="Arial" w:hAnsi="Arial" w:cs="Arial"/>
          <w:sz w:val="20"/>
          <w:szCs w:val="20"/>
        </w:rPr>
        <w:t xml:space="preserve"> is </w:t>
      </w:r>
      <w:r w:rsidR="0072055A">
        <w:rPr>
          <w:rFonts w:ascii="Arial" w:hAnsi="Arial" w:cs="Arial"/>
          <w:sz w:val="20"/>
          <w:szCs w:val="20"/>
        </w:rPr>
        <w:t>derived from</w:t>
      </w:r>
      <w:r w:rsidRPr="00CF1DF8">
        <w:rPr>
          <w:rFonts w:ascii="Arial" w:hAnsi="Arial" w:cs="Arial"/>
          <w:sz w:val="20"/>
          <w:szCs w:val="20"/>
        </w:rPr>
        <w:t xml:space="preserve"> the 75</w:t>
      </w:r>
      <w:r w:rsidRPr="00CF1DF8">
        <w:rPr>
          <w:rFonts w:ascii="Arial" w:hAnsi="Arial" w:cs="Arial"/>
          <w:sz w:val="20"/>
          <w:szCs w:val="20"/>
          <w:vertAlign w:val="superscript"/>
        </w:rPr>
        <w:t>th</w:t>
      </w:r>
      <w:r w:rsidRPr="00CF1DF8">
        <w:rPr>
          <w:rFonts w:ascii="Arial" w:hAnsi="Arial" w:cs="Arial"/>
          <w:sz w:val="20"/>
          <w:szCs w:val="20"/>
        </w:rPr>
        <w:t xml:space="preserve"> percentile of the </w:t>
      </w:r>
      <w:r w:rsidR="002C3514" w:rsidRPr="00CF1DF8">
        <w:rPr>
          <w:rFonts w:ascii="Arial" w:hAnsi="Arial" w:cs="Arial"/>
          <w:sz w:val="20"/>
          <w:szCs w:val="20"/>
        </w:rPr>
        <w:t>Lighting Facts</w:t>
      </w:r>
      <w:r w:rsidRPr="00CF1DF8">
        <w:rPr>
          <w:rFonts w:ascii="Arial" w:hAnsi="Arial" w:cs="Arial"/>
          <w:sz w:val="20"/>
          <w:szCs w:val="20"/>
        </w:rPr>
        <w:t xml:space="preserve"> database</w:t>
      </w:r>
      <w:r w:rsidR="0072055A">
        <w:rPr>
          <w:rFonts w:ascii="Arial" w:hAnsi="Arial" w:cs="Arial"/>
          <w:sz w:val="20"/>
          <w:szCs w:val="20"/>
        </w:rPr>
        <w:t xml:space="preserve"> and serves as an eligibility requirement</w:t>
      </w:r>
      <w:r w:rsidRPr="00CF1DF8">
        <w:rPr>
          <w:rFonts w:ascii="Arial" w:hAnsi="Arial" w:cs="Arial"/>
          <w:sz w:val="20"/>
          <w:szCs w:val="20"/>
        </w:rPr>
        <w:t>.</w:t>
      </w:r>
      <w:r w:rsidR="007E059E">
        <w:rPr>
          <w:rFonts w:ascii="Arial" w:hAnsi="Arial" w:cs="Arial"/>
          <w:sz w:val="20"/>
          <w:szCs w:val="20"/>
        </w:rPr>
        <w:t xml:space="preserve">  The measure case efficacy used in the savings calculations is the mid-point between the 75</w:t>
      </w:r>
      <w:r w:rsidR="007E059E" w:rsidRPr="00CF1DF8">
        <w:rPr>
          <w:rFonts w:ascii="Arial" w:hAnsi="Arial" w:cs="Arial"/>
          <w:sz w:val="20"/>
          <w:szCs w:val="20"/>
          <w:vertAlign w:val="superscript"/>
        </w:rPr>
        <w:t>th</w:t>
      </w:r>
      <w:r w:rsidR="007E059E">
        <w:rPr>
          <w:rFonts w:ascii="Arial" w:hAnsi="Arial" w:cs="Arial"/>
          <w:sz w:val="20"/>
          <w:szCs w:val="20"/>
        </w:rPr>
        <w:t xml:space="preserve"> and 100</w:t>
      </w:r>
      <w:r w:rsidR="007E059E" w:rsidRPr="00CF1DF8">
        <w:rPr>
          <w:rFonts w:ascii="Arial" w:hAnsi="Arial" w:cs="Arial"/>
          <w:sz w:val="20"/>
          <w:szCs w:val="20"/>
          <w:vertAlign w:val="superscript"/>
        </w:rPr>
        <w:t>th</w:t>
      </w:r>
      <w:r w:rsidR="007E059E">
        <w:rPr>
          <w:rFonts w:ascii="Arial" w:hAnsi="Arial" w:cs="Arial"/>
          <w:sz w:val="20"/>
          <w:szCs w:val="20"/>
        </w:rPr>
        <w:t xml:space="preserve"> percentile:  87.5</w:t>
      </w:r>
      <w:r w:rsidR="007E059E" w:rsidRPr="007E059E">
        <w:rPr>
          <w:rFonts w:ascii="Arial" w:hAnsi="Arial" w:cs="Arial"/>
          <w:sz w:val="20"/>
          <w:szCs w:val="20"/>
          <w:vertAlign w:val="superscript"/>
        </w:rPr>
        <w:t>th</w:t>
      </w:r>
      <w:r w:rsidR="007E059E">
        <w:rPr>
          <w:rFonts w:ascii="Arial" w:hAnsi="Arial" w:cs="Arial"/>
          <w:sz w:val="20"/>
          <w:szCs w:val="20"/>
        </w:rPr>
        <w:t xml:space="preserve"> percentile.</w:t>
      </w:r>
    </w:p>
    <w:p w14:paraId="4248E9F3" w14:textId="77777777" w:rsidR="00EF6429" w:rsidRPr="009842A2" w:rsidRDefault="00EF6429" w:rsidP="00EF6429">
      <w:pPr>
        <w:rPr>
          <w:rFonts w:ascii="Arial" w:hAnsi="Arial" w:cs="Arial"/>
          <w:sz w:val="20"/>
          <w:szCs w:val="20"/>
          <w:highlight w:val="yellow"/>
        </w:rPr>
      </w:pPr>
    </w:p>
    <w:p w14:paraId="0243EAEB" w14:textId="77777777" w:rsidR="00EF6429" w:rsidRPr="0038775F" w:rsidRDefault="00EF6429" w:rsidP="00EF6429">
      <w:pPr>
        <w:rPr>
          <w:rFonts w:ascii="Arial" w:hAnsi="Arial" w:cs="Arial"/>
          <w:b/>
          <w:sz w:val="20"/>
          <w:szCs w:val="20"/>
        </w:rPr>
      </w:pPr>
      <w:r w:rsidRPr="0038775F">
        <w:rPr>
          <w:rFonts w:ascii="Arial" w:hAnsi="Arial" w:cs="Arial"/>
          <w:b/>
          <w:sz w:val="20"/>
          <w:szCs w:val="20"/>
        </w:rPr>
        <w:t>Delta Wattage Assumption (ΔW)</w:t>
      </w:r>
    </w:p>
    <w:p w14:paraId="0297F278" w14:textId="77777777" w:rsidR="00EF6429" w:rsidRPr="0038775F" w:rsidRDefault="00EF6429" w:rsidP="00EF6429">
      <w:pPr>
        <w:rPr>
          <w:color w:val="0070C0"/>
          <w:sz w:val="22"/>
          <w:szCs w:val="22"/>
        </w:rPr>
      </w:pPr>
    </w:p>
    <w:p w14:paraId="740BE81F" w14:textId="54928B17" w:rsidR="00EF6429" w:rsidRPr="0038775F" w:rsidRDefault="00EF6429" w:rsidP="00EF6429">
      <w:pPr>
        <w:rPr>
          <w:rFonts w:ascii="Arial" w:hAnsi="Arial" w:cs="Arial"/>
          <w:color w:val="00B0F0"/>
          <w:sz w:val="20"/>
          <w:szCs w:val="20"/>
        </w:rPr>
      </w:pPr>
      <w:r w:rsidRPr="0038775F">
        <w:rPr>
          <w:rFonts w:ascii="Arial" w:hAnsi="Arial" w:cs="Arial"/>
          <w:sz w:val="20"/>
          <w:szCs w:val="20"/>
        </w:rPr>
        <w:t xml:space="preserve">Revision </w:t>
      </w:r>
      <w:r w:rsidR="00AF654B" w:rsidRPr="0038775F">
        <w:rPr>
          <w:rFonts w:ascii="Arial" w:hAnsi="Arial" w:cs="Arial"/>
          <w:sz w:val="20"/>
          <w:szCs w:val="20"/>
        </w:rPr>
        <w:t xml:space="preserve">3 </w:t>
      </w:r>
      <w:r w:rsidRPr="0038775F">
        <w:rPr>
          <w:rFonts w:ascii="Arial" w:hAnsi="Arial" w:cs="Arial"/>
          <w:sz w:val="20"/>
          <w:szCs w:val="20"/>
        </w:rPr>
        <w:t xml:space="preserve">of this workpaper </w:t>
      </w:r>
      <w:r w:rsidR="00AF654B" w:rsidRPr="0038775F">
        <w:rPr>
          <w:rFonts w:ascii="Arial" w:hAnsi="Arial" w:cs="Arial"/>
          <w:sz w:val="20"/>
          <w:szCs w:val="20"/>
        </w:rPr>
        <w:t xml:space="preserve">continues to </w:t>
      </w:r>
      <w:r w:rsidRPr="0038775F">
        <w:rPr>
          <w:rFonts w:ascii="Arial" w:hAnsi="Arial" w:cs="Arial"/>
          <w:sz w:val="20"/>
          <w:szCs w:val="20"/>
        </w:rPr>
        <w:t xml:space="preserve">use the difference between the lowest wattage in the baseline and the highest wattage within the measure wattage range as per the disposition “2013-2014_LightingRetrofit_Disposition-13March15”. </w:t>
      </w:r>
      <w:r w:rsidR="002676A5">
        <w:rPr>
          <w:rFonts w:ascii="Arial" w:hAnsi="Arial" w:cs="Arial"/>
          <w:sz w:val="20"/>
          <w:szCs w:val="20"/>
        </w:rPr>
        <w:t xml:space="preserve"> </w:t>
      </w:r>
      <w:r w:rsidRPr="0038775F">
        <w:rPr>
          <w:rFonts w:ascii="Arial" w:hAnsi="Arial" w:cs="Arial"/>
          <w:sz w:val="20"/>
          <w:szCs w:val="20"/>
        </w:rPr>
        <w:t xml:space="preserve">The </w:t>
      </w:r>
      <w:r w:rsidR="002676A5">
        <w:rPr>
          <w:rFonts w:ascii="Arial" w:hAnsi="Arial" w:cs="Arial"/>
          <w:sz w:val="20"/>
          <w:szCs w:val="20"/>
        </w:rPr>
        <w:t xml:space="preserve">mid-points of 62.5 and 87.5 percentiles of </w:t>
      </w:r>
      <w:r w:rsidR="002C3514">
        <w:rPr>
          <w:rFonts w:ascii="Arial" w:hAnsi="Arial" w:cs="Arial"/>
          <w:sz w:val="20"/>
          <w:szCs w:val="20"/>
        </w:rPr>
        <w:t>Lighting Facts</w:t>
      </w:r>
      <w:r w:rsidR="002676A5">
        <w:rPr>
          <w:rFonts w:ascii="Arial" w:hAnsi="Arial" w:cs="Arial"/>
          <w:sz w:val="20"/>
          <w:szCs w:val="20"/>
        </w:rPr>
        <w:t xml:space="preserve"> database was used to calculate the LED measure case wattage.  The efficacy floors set from reviewing the 50 and 75 percentile </w:t>
      </w:r>
      <w:r w:rsidR="002C3514">
        <w:rPr>
          <w:rFonts w:ascii="Arial" w:hAnsi="Arial" w:cs="Arial"/>
          <w:sz w:val="20"/>
          <w:szCs w:val="20"/>
        </w:rPr>
        <w:t>Lighting Facts</w:t>
      </w:r>
      <w:r w:rsidR="002676A5">
        <w:rPr>
          <w:rFonts w:ascii="Arial" w:hAnsi="Arial" w:cs="Arial"/>
          <w:sz w:val="20"/>
          <w:szCs w:val="20"/>
        </w:rPr>
        <w:t xml:space="preserve"> database for each wattage bin was used to calculate </w:t>
      </w:r>
      <w:r w:rsidRPr="0038775F">
        <w:rPr>
          <w:rFonts w:ascii="Arial" w:hAnsi="Arial" w:cs="Arial"/>
          <w:sz w:val="20"/>
          <w:szCs w:val="20"/>
        </w:rPr>
        <w:t xml:space="preserve">the </w:t>
      </w:r>
      <w:r w:rsidR="002676A5">
        <w:rPr>
          <w:rFonts w:ascii="Arial" w:hAnsi="Arial" w:cs="Arial"/>
          <w:sz w:val="20"/>
          <w:szCs w:val="20"/>
        </w:rPr>
        <w:t xml:space="preserve">LED base case wattage.  </w:t>
      </w:r>
      <w:r w:rsidR="0072055A">
        <w:rPr>
          <w:rFonts w:ascii="Arial" w:hAnsi="Arial" w:cs="Arial"/>
          <w:sz w:val="20"/>
          <w:szCs w:val="20"/>
        </w:rPr>
        <w:t xml:space="preserve">Delta watts are the difference between the blended base case of fluorescent and LED wattages and the measure case wattages. </w:t>
      </w:r>
    </w:p>
    <w:p w14:paraId="07D4E0BB" w14:textId="77777777" w:rsidR="00EF6429" w:rsidRPr="009842A2" w:rsidRDefault="00EF6429" w:rsidP="00EF6429">
      <w:pPr>
        <w:rPr>
          <w:rFonts w:ascii="Arial" w:hAnsi="Arial" w:cs="Arial"/>
          <w:color w:val="00B0F0"/>
          <w:sz w:val="20"/>
          <w:szCs w:val="20"/>
          <w:highlight w:val="yellow"/>
        </w:rPr>
      </w:pPr>
    </w:p>
    <w:p w14:paraId="0CBE15F7" w14:textId="40B72BBD" w:rsidR="00EF6429" w:rsidRPr="00BC000F" w:rsidRDefault="00EF6429" w:rsidP="00EF6429">
      <w:pPr>
        <w:pStyle w:val="Caption"/>
        <w:jc w:val="center"/>
        <w:rPr>
          <w:rFonts w:ascii="Arial" w:hAnsi="Arial" w:cs="Arial"/>
          <w:color w:val="000000" w:themeColor="text1"/>
        </w:rPr>
      </w:pPr>
      <w:bookmarkStart w:id="140" w:name="_Toc511038015"/>
      <w:bookmarkStart w:id="141" w:name="_Toc511244280"/>
      <w:bookmarkStart w:id="142" w:name="_Toc511244305"/>
      <w:bookmarkStart w:id="143" w:name="_Toc511244924"/>
      <w:r w:rsidRPr="00BC000F">
        <w:rPr>
          <w:rFonts w:ascii="Arial" w:hAnsi="Arial" w:cs="Arial"/>
          <w:color w:val="000000" w:themeColor="text1"/>
        </w:rPr>
        <w:t xml:space="preserve">Table </w:t>
      </w:r>
      <w:r w:rsidRPr="1AA8F051">
        <w:fldChar w:fldCharType="begin"/>
      </w:r>
      <w:r w:rsidRPr="00BC000F">
        <w:rPr>
          <w:rFonts w:ascii="Arial" w:hAnsi="Arial" w:cs="Arial"/>
          <w:color w:val="000000" w:themeColor="text1"/>
        </w:rPr>
        <w:instrText xml:space="preserve"> SEQ Table \* ARABIC </w:instrText>
      </w:r>
      <w:r w:rsidRPr="1AA8F051">
        <w:rPr>
          <w:rFonts w:ascii="Arial" w:hAnsi="Arial" w:cs="Arial"/>
          <w:color w:val="000000" w:themeColor="text1"/>
        </w:rPr>
        <w:fldChar w:fldCharType="separate"/>
      </w:r>
      <w:r w:rsidR="00E94C25">
        <w:rPr>
          <w:rFonts w:ascii="Arial" w:hAnsi="Arial" w:cs="Arial"/>
          <w:noProof/>
          <w:color w:val="000000" w:themeColor="text1"/>
        </w:rPr>
        <w:t>15</w:t>
      </w:r>
      <w:r w:rsidRPr="1AA8F051">
        <w:fldChar w:fldCharType="end"/>
      </w:r>
      <w:r w:rsidRPr="00BC000F">
        <w:rPr>
          <w:rFonts w:ascii="Arial" w:hAnsi="Arial" w:cs="Arial"/>
          <w:color w:val="000000" w:themeColor="text1"/>
        </w:rPr>
        <w:t xml:space="preserve"> - LED High-Bay and Low-Bay Fixtures Base and Measure Wattages</w:t>
      </w:r>
      <w:bookmarkEnd w:id="140"/>
      <w:bookmarkEnd w:id="141"/>
      <w:bookmarkEnd w:id="142"/>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4674CA" w:rsidRPr="006176AB" w14:paraId="528D09DC" w14:textId="77C5F9F2" w:rsidTr="004674CA">
        <w:trPr>
          <w:trHeight w:val="20"/>
        </w:trPr>
        <w:tc>
          <w:tcPr>
            <w:tcW w:w="1250" w:type="pct"/>
            <w:shd w:val="clear" w:color="auto" w:fill="D9D9D9" w:themeFill="background1" w:themeFillShade="D9"/>
            <w:vAlign w:val="center"/>
            <w:hideMark/>
          </w:tcPr>
          <w:p w14:paraId="300E4BD2" w14:textId="20BADD3A" w:rsidR="004674CA" w:rsidRPr="006176AB" w:rsidRDefault="004674CA" w:rsidP="002859D9">
            <w:pPr>
              <w:jc w:val="center"/>
              <w:rPr>
                <w:rFonts w:ascii="Arial" w:hAnsi="Arial" w:cs="Arial"/>
                <w:b/>
                <w:bCs/>
                <w:color w:val="000000"/>
                <w:sz w:val="20"/>
                <w:szCs w:val="20"/>
              </w:rPr>
            </w:pPr>
            <w:r w:rsidRPr="1AA8F051">
              <w:rPr>
                <w:rFonts w:ascii="Arial" w:hAnsi="Arial"/>
                <w:b/>
                <w:color w:val="000000" w:themeColor="text1"/>
                <w:sz w:val="20"/>
              </w:rPr>
              <w:t>Meas C</w:t>
            </w:r>
            <w:r>
              <w:rPr>
                <w:rFonts w:ascii="Arial" w:hAnsi="Arial"/>
                <w:b/>
                <w:color w:val="000000" w:themeColor="text1"/>
                <w:sz w:val="20"/>
              </w:rPr>
              <w:t>ode</w:t>
            </w:r>
          </w:p>
        </w:tc>
        <w:tc>
          <w:tcPr>
            <w:tcW w:w="1250" w:type="pct"/>
            <w:shd w:val="clear" w:color="auto" w:fill="D9D9D9" w:themeFill="background1" w:themeFillShade="D9"/>
            <w:vAlign w:val="center"/>
          </w:tcPr>
          <w:p w14:paraId="089951CB" w14:textId="10C9CAA7" w:rsidR="004674CA" w:rsidRPr="006176AB" w:rsidRDefault="004674CA" w:rsidP="002859D9">
            <w:pPr>
              <w:jc w:val="center"/>
              <w:rPr>
                <w:rFonts w:ascii="Arial" w:hAnsi="Arial" w:cs="Arial"/>
                <w:b/>
                <w:bCs/>
                <w:color w:val="000000"/>
                <w:sz w:val="20"/>
                <w:szCs w:val="20"/>
              </w:rPr>
            </w:pPr>
            <w:r w:rsidRPr="1AA8F051">
              <w:rPr>
                <w:rFonts w:ascii="Arial" w:hAnsi="Arial"/>
                <w:b/>
                <w:color w:val="000000" w:themeColor="text1"/>
                <w:sz w:val="20"/>
              </w:rPr>
              <w:t xml:space="preserve">Base Case </w:t>
            </w:r>
            <w:r>
              <w:rPr>
                <w:rFonts w:ascii="Arial" w:hAnsi="Arial"/>
                <w:b/>
                <w:color w:val="000000" w:themeColor="text1"/>
                <w:sz w:val="20"/>
              </w:rPr>
              <w:t>Blended System Wattage</w:t>
            </w:r>
          </w:p>
        </w:tc>
        <w:tc>
          <w:tcPr>
            <w:tcW w:w="1250" w:type="pct"/>
            <w:shd w:val="clear" w:color="auto" w:fill="D9D9D9" w:themeFill="background1" w:themeFillShade="D9"/>
            <w:vAlign w:val="center"/>
            <w:hideMark/>
          </w:tcPr>
          <w:p w14:paraId="2F7F86F0" w14:textId="62B6644E" w:rsidR="004674CA" w:rsidRPr="006176AB" w:rsidRDefault="004674CA" w:rsidP="002859D9">
            <w:pPr>
              <w:jc w:val="center"/>
              <w:rPr>
                <w:rFonts w:ascii="Arial" w:hAnsi="Arial" w:cs="Arial"/>
                <w:b/>
                <w:bCs/>
                <w:color w:val="000000"/>
                <w:sz w:val="20"/>
                <w:szCs w:val="20"/>
              </w:rPr>
            </w:pPr>
            <w:r>
              <w:rPr>
                <w:rFonts w:ascii="Arial" w:hAnsi="Arial"/>
                <w:b/>
                <w:color w:val="000000" w:themeColor="text1"/>
                <w:sz w:val="20"/>
              </w:rPr>
              <w:t>Meas</w:t>
            </w:r>
            <w:r w:rsidRPr="1AA8F051">
              <w:rPr>
                <w:rFonts w:ascii="Arial" w:hAnsi="Arial"/>
                <w:b/>
                <w:color w:val="000000" w:themeColor="text1"/>
                <w:sz w:val="20"/>
              </w:rPr>
              <w:t xml:space="preserve"> Case </w:t>
            </w:r>
            <w:r>
              <w:rPr>
                <w:rFonts w:ascii="Arial" w:hAnsi="Arial"/>
                <w:b/>
                <w:color w:val="000000" w:themeColor="text1"/>
                <w:sz w:val="20"/>
              </w:rPr>
              <w:t>Wattage</w:t>
            </w:r>
          </w:p>
        </w:tc>
        <w:tc>
          <w:tcPr>
            <w:tcW w:w="1250" w:type="pct"/>
            <w:shd w:val="clear" w:color="auto" w:fill="D9D9D9" w:themeFill="background1" w:themeFillShade="D9"/>
            <w:vAlign w:val="center"/>
            <w:hideMark/>
          </w:tcPr>
          <w:p w14:paraId="4A688240" w14:textId="3D93B592" w:rsidR="004674CA" w:rsidRPr="006176AB" w:rsidRDefault="004674CA" w:rsidP="002859D9">
            <w:pPr>
              <w:jc w:val="center"/>
              <w:rPr>
                <w:rFonts w:ascii="Arial" w:hAnsi="Arial" w:cs="Arial"/>
                <w:b/>
                <w:bCs/>
                <w:color w:val="000000"/>
                <w:sz w:val="20"/>
                <w:szCs w:val="20"/>
              </w:rPr>
            </w:pPr>
            <w:r>
              <w:rPr>
                <w:rFonts w:ascii="Arial" w:hAnsi="Arial"/>
                <w:b/>
                <w:color w:val="000000" w:themeColor="text1"/>
                <w:sz w:val="20"/>
              </w:rPr>
              <w:t>Delta Watts</w:t>
            </w:r>
          </w:p>
        </w:tc>
      </w:tr>
      <w:tr w:rsidR="004674CA" w:rsidRPr="006176AB" w14:paraId="3AC932DE" w14:textId="514BA62C" w:rsidTr="004674CA">
        <w:trPr>
          <w:trHeight w:val="20"/>
        </w:trPr>
        <w:tc>
          <w:tcPr>
            <w:tcW w:w="1250" w:type="pct"/>
            <w:shd w:val="clear" w:color="auto" w:fill="auto"/>
            <w:vAlign w:val="bottom"/>
          </w:tcPr>
          <w:p w14:paraId="159EB705" w14:textId="3EDF4352"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LT376</w:t>
            </w:r>
          </w:p>
        </w:tc>
        <w:tc>
          <w:tcPr>
            <w:tcW w:w="1250" w:type="pct"/>
            <w:vAlign w:val="bottom"/>
          </w:tcPr>
          <w:p w14:paraId="3E9857AE" w14:textId="03C14B5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53</w:t>
            </w:r>
          </w:p>
        </w:tc>
        <w:tc>
          <w:tcPr>
            <w:tcW w:w="1250" w:type="pct"/>
            <w:shd w:val="clear" w:color="auto" w:fill="auto"/>
            <w:vAlign w:val="bottom"/>
          </w:tcPr>
          <w:p w14:paraId="04DFE887" w14:textId="650252E6"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47.99</w:t>
            </w:r>
          </w:p>
        </w:tc>
        <w:tc>
          <w:tcPr>
            <w:tcW w:w="1250" w:type="pct"/>
            <w:shd w:val="clear" w:color="auto" w:fill="auto"/>
            <w:vAlign w:val="bottom"/>
          </w:tcPr>
          <w:p w14:paraId="1CE82EE1" w14:textId="3E7EC7C3"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4.8</w:t>
            </w:r>
          </w:p>
        </w:tc>
      </w:tr>
      <w:tr w:rsidR="004674CA" w:rsidRPr="006176AB" w14:paraId="58495DBB" w14:textId="02C94DDC" w:rsidTr="004674CA">
        <w:trPr>
          <w:trHeight w:val="20"/>
        </w:trPr>
        <w:tc>
          <w:tcPr>
            <w:tcW w:w="1250" w:type="pct"/>
            <w:shd w:val="clear" w:color="auto" w:fill="auto"/>
            <w:vAlign w:val="bottom"/>
          </w:tcPr>
          <w:p w14:paraId="3A9FA0A9" w14:textId="162687E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LT377</w:t>
            </w:r>
          </w:p>
        </w:tc>
        <w:tc>
          <w:tcPr>
            <w:tcW w:w="1250" w:type="pct"/>
            <w:vAlign w:val="bottom"/>
          </w:tcPr>
          <w:p w14:paraId="19F0EC0A" w14:textId="2975209A"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81</w:t>
            </w:r>
          </w:p>
        </w:tc>
        <w:tc>
          <w:tcPr>
            <w:tcW w:w="1250" w:type="pct"/>
            <w:shd w:val="clear" w:color="auto" w:fill="auto"/>
            <w:vAlign w:val="bottom"/>
          </w:tcPr>
          <w:p w14:paraId="18E34166" w14:textId="25332489"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70.99</w:t>
            </w:r>
          </w:p>
        </w:tc>
        <w:tc>
          <w:tcPr>
            <w:tcW w:w="1250" w:type="pct"/>
            <w:shd w:val="clear" w:color="auto" w:fill="auto"/>
            <w:vAlign w:val="bottom"/>
          </w:tcPr>
          <w:p w14:paraId="61509CE7" w14:textId="20C24ED8"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10.0</w:t>
            </w:r>
          </w:p>
        </w:tc>
      </w:tr>
      <w:tr w:rsidR="004674CA" w:rsidRPr="006176AB" w14:paraId="7CA5E02D" w14:textId="6BC928BA" w:rsidTr="004674CA">
        <w:trPr>
          <w:trHeight w:val="20"/>
        </w:trPr>
        <w:tc>
          <w:tcPr>
            <w:tcW w:w="1250" w:type="pct"/>
            <w:shd w:val="clear" w:color="auto" w:fill="auto"/>
            <w:vAlign w:val="bottom"/>
          </w:tcPr>
          <w:p w14:paraId="01505BEA" w14:textId="5F380D4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LT378</w:t>
            </w:r>
          </w:p>
        </w:tc>
        <w:tc>
          <w:tcPr>
            <w:tcW w:w="1250" w:type="pct"/>
            <w:vAlign w:val="bottom"/>
          </w:tcPr>
          <w:p w14:paraId="5397F2FB" w14:textId="0D708A6A"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105</w:t>
            </w:r>
          </w:p>
        </w:tc>
        <w:tc>
          <w:tcPr>
            <w:tcW w:w="1250" w:type="pct"/>
            <w:shd w:val="clear" w:color="auto" w:fill="auto"/>
            <w:vAlign w:val="bottom"/>
          </w:tcPr>
          <w:p w14:paraId="02E2CE51" w14:textId="360D7396"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89.99</w:t>
            </w:r>
          </w:p>
        </w:tc>
        <w:tc>
          <w:tcPr>
            <w:tcW w:w="1250" w:type="pct"/>
            <w:shd w:val="clear" w:color="auto" w:fill="auto"/>
            <w:vAlign w:val="bottom"/>
          </w:tcPr>
          <w:p w14:paraId="5211B6A5" w14:textId="5957877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15.4</w:t>
            </w:r>
          </w:p>
        </w:tc>
      </w:tr>
      <w:tr w:rsidR="004674CA" w:rsidRPr="006176AB" w14:paraId="1019F3BE" w14:textId="5F19E772" w:rsidTr="004674CA">
        <w:trPr>
          <w:trHeight w:val="20"/>
        </w:trPr>
        <w:tc>
          <w:tcPr>
            <w:tcW w:w="1250" w:type="pct"/>
            <w:shd w:val="clear" w:color="auto" w:fill="auto"/>
            <w:vAlign w:val="bottom"/>
          </w:tcPr>
          <w:p w14:paraId="1867B928" w14:textId="0461E8E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LT379</w:t>
            </w:r>
          </w:p>
        </w:tc>
        <w:tc>
          <w:tcPr>
            <w:tcW w:w="1250" w:type="pct"/>
            <w:vAlign w:val="bottom"/>
          </w:tcPr>
          <w:p w14:paraId="4A6B0FF1" w14:textId="317ACF83"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143</w:t>
            </w:r>
          </w:p>
        </w:tc>
        <w:tc>
          <w:tcPr>
            <w:tcW w:w="1250" w:type="pct"/>
            <w:shd w:val="clear" w:color="auto" w:fill="auto"/>
            <w:vAlign w:val="bottom"/>
          </w:tcPr>
          <w:p w14:paraId="5E3703A1" w14:textId="3D1816D6"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124.99</w:t>
            </w:r>
          </w:p>
        </w:tc>
        <w:tc>
          <w:tcPr>
            <w:tcW w:w="1250" w:type="pct"/>
            <w:shd w:val="clear" w:color="auto" w:fill="auto"/>
            <w:vAlign w:val="bottom"/>
          </w:tcPr>
          <w:p w14:paraId="7F9317FE" w14:textId="0DF5AA2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17.6</w:t>
            </w:r>
          </w:p>
        </w:tc>
      </w:tr>
      <w:tr w:rsidR="004674CA" w:rsidRPr="006176AB" w14:paraId="3A1A7299" w14:textId="47984BC6" w:rsidTr="004674CA">
        <w:trPr>
          <w:trHeight w:val="20"/>
        </w:trPr>
        <w:tc>
          <w:tcPr>
            <w:tcW w:w="1250" w:type="pct"/>
            <w:shd w:val="clear" w:color="auto" w:fill="auto"/>
            <w:vAlign w:val="bottom"/>
          </w:tcPr>
          <w:p w14:paraId="4E6F0EF1" w14:textId="3B31DCA3"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LT380</w:t>
            </w:r>
          </w:p>
        </w:tc>
        <w:tc>
          <w:tcPr>
            <w:tcW w:w="1250" w:type="pct"/>
            <w:vAlign w:val="bottom"/>
          </w:tcPr>
          <w:p w14:paraId="19114C55" w14:textId="4F77A79C"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177</w:t>
            </w:r>
          </w:p>
        </w:tc>
        <w:tc>
          <w:tcPr>
            <w:tcW w:w="1250" w:type="pct"/>
            <w:shd w:val="clear" w:color="auto" w:fill="auto"/>
            <w:vAlign w:val="bottom"/>
          </w:tcPr>
          <w:p w14:paraId="159D22AC" w14:textId="6030E54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152.99</w:t>
            </w:r>
          </w:p>
        </w:tc>
        <w:tc>
          <w:tcPr>
            <w:tcW w:w="1250" w:type="pct"/>
            <w:shd w:val="clear" w:color="auto" w:fill="auto"/>
            <w:vAlign w:val="bottom"/>
          </w:tcPr>
          <w:p w14:paraId="4847E245" w14:textId="248CF7DA"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23.7</w:t>
            </w:r>
          </w:p>
        </w:tc>
      </w:tr>
      <w:tr w:rsidR="004674CA" w:rsidRPr="006176AB" w14:paraId="1719C3DB" w14:textId="301113BE" w:rsidTr="004674CA">
        <w:trPr>
          <w:trHeight w:val="20"/>
        </w:trPr>
        <w:tc>
          <w:tcPr>
            <w:tcW w:w="1250" w:type="pct"/>
            <w:shd w:val="clear" w:color="auto" w:fill="auto"/>
            <w:vAlign w:val="bottom"/>
          </w:tcPr>
          <w:p w14:paraId="6C5D40FF" w14:textId="02EA1B7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LT381</w:t>
            </w:r>
          </w:p>
        </w:tc>
        <w:tc>
          <w:tcPr>
            <w:tcW w:w="1250" w:type="pct"/>
            <w:vAlign w:val="bottom"/>
          </w:tcPr>
          <w:p w14:paraId="493D2DB5" w14:textId="3C65EF67"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224</w:t>
            </w:r>
          </w:p>
        </w:tc>
        <w:tc>
          <w:tcPr>
            <w:tcW w:w="1250" w:type="pct"/>
            <w:shd w:val="clear" w:color="auto" w:fill="auto"/>
            <w:vAlign w:val="bottom"/>
          </w:tcPr>
          <w:p w14:paraId="50935CFD" w14:textId="4ED9F22C"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186.99</w:t>
            </w:r>
          </w:p>
        </w:tc>
        <w:tc>
          <w:tcPr>
            <w:tcW w:w="1250" w:type="pct"/>
            <w:shd w:val="clear" w:color="auto" w:fill="auto"/>
            <w:vAlign w:val="bottom"/>
          </w:tcPr>
          <w:p w14:paraId="4063348B" w14:textId="4F0D38B1"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36.9</w:t>
            </w:r>
          </w:p>
        </w:tc>
      </w:tr>
      <w:tr w:rsidR="004674CA" w:rsidRPr="006176AB" w14:paraId="2A43BA09" w14:textId="11569A55" w:rsidTr="004674CA">
        <w:trPr>
          <w:trHeight w:val="20"/>
        </w:trPr>
        <w:tc>
          <w:tcPr>
            <w:tcW w:w="1250" w:type="pct"/>
            <w:shd w:val="clear" w:color="auto" w:fill="auto"/>
            <w:vAlign w:val="bottom"/>
          </w:tcPr>
          <w:p w14:paraId="5350BEED" w14:textId="6A2BFA7E"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LT382</w:t>
            </w:r>
          </w:p>
        </w:tc>
        <w:tc>
          <w:tcPr>
            <w:tcW w:w="1250" w:type="pct"/>
            <w:vAlign w:val="bottom"/>
          </w:tcPr>
          <w:p w14:paraId="0442C055" w14:textId="2D9E1331"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220</w:t>
            </w:r>
          </w:p>
        </w:tc>
        <w:tc>
          <w:tcPr>
            <w:tcW w:w="1250" w:type="pct"/>
            <w:shd w:val="clear" w:color="auto" w:fill="auto"/>
            <w:vAlign w:val="bottom"/>
          </w:tcPr>
          <w:p w14:paraId="5BB96F79" w14:textId="1A2C6019"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211.99</w:t>
            </w:r>
          </w:p>
        </w:tc>
        <w:tc>
          <w:tcPr>
            <w:tcW w:w="1250" w:type="pct"/>
            <w:shd w:val="clear" w:color="auto" w:fill="auto"/>
            <w:vAlign w:val="bottom"/>
          </w:tcPr>
          <w:p w14:paraId="73F66BF1" w14:textId="4944B79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8.3</w:t>
            </w:r>
          </w:p>
        </w:tc>
      </w:tr>
      <w:tr w:rsidR="004674CA" w:rsidRPr="006176AB" w14:paraId="07923029" w14:textId="14FB0366" w:rsidTr="004674CA">
        <w:trPr>
          <w:trHeight w:val="20"/>
        </w:trPr>
        <w:tc>
          <w:tcPr>
            <w:tcW w:w="1250" w:type="pct"/>
            <w:shd w:val="clear" w:color="auto" w:fill="auto"/>
            <w:vAlign w:val="bottom"/>
          </w:tcPr>
          <w:p w14:paraId="49137310" w14:textId="3435AD4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LT383</w:t>
            </w:r>
          </w:p>
        </w:tc>
        <w:tc>
          <w:tcPr>
            <w:tcW w:w="1250" w:type="pct"/>
            <w:vAlign w:val="bottom"/>
          </w:tcPr>
          <w:p w14:paraId="02859DBB" w14:textId="2453114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262</w:t>
            </w:r>
          </w:p>
        </w:tc>
        <w:tc>
          <w:tcPr>
            <w:tcW w:w="1250" w:type="pct"/>
            <w:shd w:val="clear" w:color="auto" w:fill="auto"/>
            <w:vAlign w:val="bottom"/>
          </w:tcPr>
          <w:p w14:paraId="0A320ED3" w14:textId="336F57F4"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245.99</w:t>
            </w:r>
          </w:p>
        </w:tc>
        <w:tc>
          <w:tcPr>
            <w:tcW w:w="1250" w:type="pct"/>
            <w:shd w:val="clear" w:color="auto" w:fill="auto"/>
            <w:vAlign w:val="bottom"/>
          </w:tcPr>
          <w:p w14:paraId="3D6F583E" w14:textId="6C44EFA7"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16.1</w:t>
            </w:r>
          </w:p>
        </w:tc>
      </w:tr>
      <w:tr w:rsidR="004674CA" w:rsidRPr="006176AB" w14:paraId="2EE0B017" w14:textId="40C47CA1" w:rsidTr="004674CA">
        <w:trPr>
          <w:trHeight w:val="20"/>
        </w:trPr>
        <w:tc>
          <w:tcPr>
            <w:tcW w:w="1250" w:type="pct"/>
            <w:shd w:val="clear" w:color="auto" w:fill="auto"/>
            <w:vAlign w:val="bottom"/>
          </w:tcPr>
          <w:p w14:paraId="53FAD48D" w14:textId="0A469202"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LT384</w:t>
            </w:r>
          </w:p>
        </w:tc>
        <w:tc>
          <w:tcPr>
            <w:tcW w:w="1250" w:type="pct"/>
            <w:vAlign w:val="bottom"/>
          </w:tcPr>
          <w:p w14:paraId="49CF1DDD" w14:textId="21CB69E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303</w:t>
            </w:r>
          </w:p>
        </w:tc>
        <w:tc>
          <w:tcPr>
            <w:tcW w:w="1250" w:type="pct"/>
            <w:shd w:val="clear" w:color="auto" w:fill="auto"/>
            <w:vAlign w:val="bottom"/>
          </w:tcPr>
          <w:p w14:paraId="58B90F2C" w14:textId="518E004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282.99</w:t>
            </w:r>
          </w:p>
        </w:tc>
        <w:tc>
          <w:tcPr>
            <w:tcW w:w="1250" w:type="pct"/>
            <w:shd w:val="clear" w:color="auto" w:fill="auto"/>
            <w:vAlign w:val="bottom"/>
          </w:tcPr>
          <w:p w14:paraId="4E87DEAE" w14:textId="2BAACFE8"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20.4</w:t>
            </w:r>
          </w:p>
        </w:tc>
      </w:tr>
      <w:tr w:rsidR="004674CA" w:rsidRPr="006176AB" w14:paraId="36CF4165" w14:textId="17E8A562" w:rsidTr="004674CA">
        <w:trPr>
          <w:trHeight w:val="20"/>
        </w:trPr>
        <w:tc>
          <w:tcPr>
            <w:tcW w:w="1250" w:type="pct"/>
            <w:shd w:val="clear" w:color="auto" w:fill="auto"/>
            <w:vAlign w:val="bottom"/>
          </w:tcPr>
          <w:p w14:paraId="1C224428" w14:textId="505C1631"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LT385</w:t>
            </w:r>
          </w:p>
        </w:tc>
        <w:tc>
          <w:tcPr>
            <w:tcW w:w="1250" w:type="pct"/>
            <w:vAlign w:val="bottom"/>
          </w:tcPr>
          <w:p w14:paraId="402CB453" w14:textId="13AB705C"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53</w:t>
            </w:r>
          </w:p>
        </w:tc>
        <w:tc>
          <w:tcPr>
            <w:tcW w:w="1250" w:type="pct"/>
            <w:shd w:val="clear" w:color="auto" w:fill="auto"/>
            <w:vAlign w:val="bottom"/>
          </w:tcPr>
          <w:p w14:paraId="699D645B" w14:textId="4FAEBA47"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41.99</w:t>
            </w:r>
          </w:p>
        </w:tc>
        <w:tc>
          <w:tcPr>
            <w:tcW w:w="1250" w:type="pct"/>
            <w:shd w:val="clear" w:color="auto" w:fill="auto"/>
            <w:vAlign w:val="bottom"/>
          </w:tcPr>
          <w:p w14:paraId="561FEF3E" w14:textId="52F6C308"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10.8</w:t>
            </w:r>
          </w:p>
        </w:tc>
      </w:tr>
      <w:tr w:rsidR="004674CA" w:rsidRPr="006176AB" w14:paraId="309C0D7F" w14:textId="647A6473" w:rsidTr="004674CA">
        <w:trPr>
          <w:trHeight w:val="20"/>
        </w:trPr>
        <w:tc>
          <w:tcPr>
            <w:tcW w:w="1250" w:type="pct"/>
            <w:shd w:val="clear" w:color="auto" w:fill="auto"/>
            <w:vAlign w:val="bottom"/>
          </w:tcPr>
          <w:p w14:paraId="65FEC27B" w14:textId="77CC29DE"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LT386</w:t>
            </w:r>
          </w:p>
        </w:tc>
        <w:tc>
          <w:tcPr>
            <w:tcW w:w="1250" w:type="pct"/>
            <w:vAlign w:val="bottom"/>
          </w:tcPr>
          <w:p w14:paraId="186EDDA8" w14:textId="330222E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81</w:t>
            </w:r>
          </w:p>
        </w:tc>
        <w:tc>
          <w:tcPr>
            <w:tcW w:w="1250" w:type="pct"/>
            <w:shd w:val="clear" w:color="auto" w:fill="auto"/>
            <w:vAlign w:val="bottom"/>
          </w:tcPr>
          <w:p w14:paraId="7977CF68" w14:textId="7D2D1EF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59.99</w:t>
            </w:r>
          </w:p>
        </w:tc>
        <w:tc>
          <w:tcPr>
            <w:tcW w:w="1250" w:type="pct"/>
            <w:shd w:val="clear" w:color="auto" w:fill="auto"/>
            <w:vAlign w:val="bottom"/>
          </w:tcPr>
          <w:p w14:paraId="045CCA1D" w14:textId="5FA4FC3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21.0</w:t>
            </w:r>
          </w:p>
        </w:tc>
      </w:tr>
      <w:tr w:rsidR="004674CA" w:rsidRPr="006176AB" w14:paraId="6322C8A9" w14:textId="69A31B5A" w:rsidTr="004674CA">
        <w:trPr>
          <w:trHeight w:val="20"/>
        </w:trPr>
        <w:tc>
          <w:tcPr>
            <w:tcW w:w="1250" w:type="pct"/>
            <w:shd w:val="clear" w:color="auto" w:fill="auto"/>
            <w:vAlign w:val="bottom"/>
          </w:tcPr>
          <w:p w14:paraId="5BF9DA55" w14:textId="6E6F223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LT387</w:t>
            </w:r>
          </w:p>
        </w:tc>
        <w:tc>
          <w:tcPr>
            <w:tcW w:w="1250" w:type="pct"/>
            <w:vAlign w:val="bottom"/>
          </w:tcPr>
          <w:p w14:paraId="262EA8AC" w14:textId="7402F66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105</w:t>
            </w:r>
          </w:p>
        </w:tc>
        <w:tc>
          <w:tcPr>
            <w:tcW w:w="1250" w:type="pct"/>
            <w:shd w:val="clear" w:color="auto" w:fill="auto"/>
            <w:vAlign w:val="bottom"/>
          </w:tcPr>
          <w:p w14:paraId="1B39E57E" w14:textId="470AD103"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81.99</w:t>
            </w:r>
          </w:p>
        </w:tc>
        <w:tc>
          <w:tcPr>
            <w:tcW w:w="1250" w:type="pct"/>
            <w:shd w:val="clear" w:color="auto" w:fill="auto"/>
            <w:vAlign w:val="bottom"/>
          </w:tcPr>
          <w:p w14:paraId="1725DADB" w14:textId="576DDDC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23.4</w:t>
            </w:r>
          </w:p>
        </w:tc>
      </w:tr>
      <w:tr w:rsidR="004674CA" w:rsidRPr="006176AB" w14:paraId="5DA45830" w14:textId="43A6B339" w:rsidTr="004674CA">
        <w:trPr>
          <w:trHeight w:val="20"/>
        </w:trPr>
        <w:tc>
          <w:tcPr>
            <w:tcW w:w="1250" w:type="pct"/>
            <w:shd w:val="clear" w:color="auto" w:fill="auto"/>
            <w:vAlign w:val="bottom"/>
          </w:tcPr>
          <w:p w14:paraId="2800B340" w14:textId="38802F22"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LT388</w:t>
            </w:r>
          </w:p>
        </w:tc>
        <w:tc>
          <w:tcPr>
            <w:tcW w:w="1250" w:type="pct"/>
            <w:vAlign w:val="bottom"/>
          </w:tcPr>
          <w:p w14:paraId="09FF560E" w14:textId="30B49801"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143</w:t>
            </w:r>
          </w:p>
        </w:tc>
        <w:tc>
          <w:tcPr>
            <w:tcW w:w="1250" w:type="pct"/>
            <w:shd w:val="clear" w:color="auto" w:fill="auto"/>
            <w:vAlign w:val="bottom"/>
          </w:tcPr>
          <w:p w14:paraId="3DE95DCA" w14:textId="050138BC"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112.99</w:t>
            </w:r>
          </w:p>
        </w:tc>
        <w:tc>
          <w:tcPr>
            <w:tcW w:w="1250" w:type="pct"/>
            <w:shd w:val="clear" w:color="auto" w:fill="auto"/>
            <w:vAlign w:val="bottom"/>
          </w:tcPr>
          <w:p w14:paraId="3CBFE96C" w14:textId="2CE1A316"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29.6</w:t>
            </w:r>
          </w:p>
        </w:tc>
      </w:tr>
      <w:tr w:rsidR="004674CA" w:rsidRPr="006176AB" w14:paraId="2139C67E" w14:textId="3E032ECF" w:rsidTr="004674CA">
        <w:trPr>
          <w:trHeight w:val="20"/>
        </w:trPr>
        <w:tc>
          <w:tcPr>
            <w:tcW w:w="1250" w:type="pct"/>
            <w:shd w:val="clear" w:color="auto" w:fill="auto"/>
            <w:vAlign w:val="bottom"/>
          </w:tcPr>
          <w:p w14:paraId="4CB8A473" w14:textId="289D0A23"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LT389</w:t>
            </w:r>
          </w:p>
        </w:tc>
        <w:tc>
          <w:tcPr>
            <w:tcW w:w="1250" w:type="pct"/>
            <w:vAlign w:val="bottom"/>
          </w:tcPr>
          <w:p w14:paraId="126399CC" w14:textId="1B382121"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177</w:t>
            </w:r>
          </w:p>
        </w:tc>
        <w:tc>
          <w:tcPr>
            <w:tcW w:w="1250" w:type="pct"/>
            <w:shd w:val="clear" w:color="auto" w:fill="auto"/>
            <w:vAlign w:val="bottom"/>
          </w:tcPr>
          <w:p w14:paraId="62899DDA" w14:textId="1AEA3334"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139.99</w:t>
            </w:r>
          </w:p>
        </w:tc>
        <w:tc>
          <w:tcPr>
            <w:tcW w:w="1250" w:type="pct"/>
            <w:shd w:val="clear" w:color="auto" w:fill="auto"/>
            <w:vAlign w:val="bottom"/>
          </w:tcPr>
          <w:p w14:paraId="54799860" w14:textId="673A58A2"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36.7</w:t>
            </w:r>
          </w:p>
        </w:tc>
      </w:tr>
      <w:tr w:rsidR="004674CA" w:rsidRPr="006176AB" w14:paraId="050C4D96" w14:textId="77777777" w:rsidTr="004674CA">
        <w:trPr>
          <w:trHeight w:val="20"/>
        </w:trPr>
        <w:tc>
          <w:tcPr>
            <w:tcW w:w="1250" w:type="pct"/>
            <w:shd w:val="clear" w:color="auto" w:fill="auto"/>
            <w:vAlign w:val="bottom"/>
          </w:tcPr>
          <w:p w14:paraId="123B908D" w14:textId="54155070" w:rsidR="004674CA" w:rsidRDefault="004674CA" w:rsidP="004674CA">
            <w:pPr>
              <w:jc w:val="center"/>
              <w:rPr>
                <w:rFonts w:ascii="Calibri" w:hAnsi="Calibri"/>
                <w:color w:val="000000"/>
                <w:sz w:val="22"/>
                <w:szCs w:val="22"/>
              </w:rPr>
            </w:pPr>
            <w:r>
              <w:rPr>
                <w:rFonts w:ascii="Calibri" w:hAnsi="Calibri"/>
                <w:color w:val="000000"/>
                <w:sz w:val="22"/>
                <w:szCs w:val="22"/>
              </w:rPr>
              <w:t>LT390</w:t>
            </w:r>
          </w:p>
        </w:tc>
        <w:tc>
          <w:tcPr>
            <w:tcW w:w="1250" w:type="pct"/>
            <w:vAlign w:val="bottom"/>
          </w:tcPr>
          <w:p w14:paraId="1225388F" w14:textId="535B9C65"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224</w:t>
            </w:r>
          </w:p>
        </w:tc>
        <w:tc>
          <w:tcPr>
            <w:tcW w:w="1250" w:type="pct"/>
            <w:shd w:val="clear" w:color="auto" w:fill="auto"/>
            <w:vAlign w:val="bottom"/>
          </w:tcPr>
          <w:p w14:paraId="38F7766E" w14:textId="25BB207E"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173.99</w:t>
            </w:r>
          </w:p>
        </w:tc>
        <w:tc>
          <w:tcPr>
            <w:tcW w:w="1250" w:type="pct"/>
            <w:shd w:val="clear" w:color="auto" w:fill="auto"/>
            <w:vAlign w:val="bottom"/>
          </w:tcPr>
          <w:p w14:paraId="08872172" w14:textId="4467304B"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49.9</w:t>
            </w:r>
          </w:p>
        </w:tc>
      </w:tr>
      <w:tr w:rsidR="004674CA" w:rsidRPr="006176AB" w14:paraId="6E210CAB" w14:textId="77777777" w:rsidTr="004674CA">
        <w:trPr>
          <w:trHeight w:val="20"/>
        </w:trPr>
        <w:tc>
          <w:tcPr>
            <w:tcW w:w="1250" w:type="pct"/>
            <w:shd w:val="clear" w:color="auto" w:fill="auto"/>
            <w:vAlign w:val="bottom"/>
          </w:tcPr>
          <w:p w14:paraId="161F7A35" w14:textId="50BBCD0D" w:rsidR="004674CA" w:rsidRDefault="004674CA" w:rsidP="004674CA">
            <w:pPr>
              <w:jc w:val="center"/>
              <w:rPr>
                <w:rFonts w:ascii="Calibri" w:hAnsi="Calibri"/>
                <w:color w:val="000000"/>
                <w:sz w:val="22"/>
                <w:szCs w:val="22"/>
              </w:rPr>
            </w:pPr>
            <w:r>
              <w:rPr>
                <w:rFonts w:ascii="Calibri" w:hAnsi="Calibri"/>
                <w:color w:val="000000"/>
                <w:sz w:val="22"/>
                <w:szCs w:val="22"/>
              </w:rPr>
              <w:t>LT391</w:t>
            </w:r>
          </w:p>
        </w:tc>
        <w:tc>
          <w:tcPr>
            <w:tcW w:w="1250" w:type="pct"/>
            <w:vAlign w:val="bottom"/>
          </w:tcPr>
          <w:p w14:paraId="509FFE99" w14:textId="7C8BAB60"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220</w:t>
            </w:r>
          </w:p>
        </w:tc>
        <w:tc>
          <w:tcPr>
            <w:tcW w:w="1250" w:type="pct"/>
            <w:shd w:val="clear" w:color="auto" w:fill="auto"/>
            <w:vAlign w:val="bottom"/>
          </w:tcPr>
          <w:p w14:paraId="24F70807" w14:textId="16DA4A02"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193.99</w:t>
            </w:r>
          </w:p>
        </w:tc>
        <w:tc>
          <w:tcPr>
            <w:tcW w:w="1250" w:type="pct"/>
            <w:shd w:val="clear" w:color="auto" w:fill="auto"/>
            <w:vAlign w:val="bottom"/>
          </w:tcPr>
          <w:p w14:paraId="33FBC338" w14:textId="45B4873C"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26.3</w:t>
            </w:r>
          </w:p>
        </w:tc>
      </w:tr>
      <w:tr w:rsidR="004674CA" w:rsidRPr="006176AB" w14:paraId="03ECC614" w14:textId="77777777" w:rsidTr="004674CA">
        <w:trPr>
          <w:trHeight w:val="20"/>
        </w:trPr>
        <w:tc>
          <w:tcPr>
            <w:tcW w:w="1250" w:type="pct"/>
            <w:shd w:val="clear" w:color="auto" w:fill="auto"/>
            <w:vAlign w:val="bottom"/>
          </w:tcPr>
          <w:p w14:paraId="19E63856" w14:textId="4FB648EF" w:rsidR="004674CA" w:rsidRDefault="004674CA" w:rsidP="004674CA">
            <w:pPr>
              <w:jc w:val="center"/>
              <w:rPr>
                <w:rFonts w:ascii="Calibri" w:hAnsi="Calibri"/>
                <w:color w:val="000000"/>
                <w:sz w:val="22"/>
                <w:szCs w:val="22"/>
              </w:rPr>
            </w:pPr>
            <w:r>
              <w:rPr>
                <w:rFonts w:ascii="Calibri" w:hAnsi="Calibri"/>
                <w:color w:val="000000"/>
                <w:sz w:val="22"/>
                <w:szCs w:val="22"/>
              </w:rPr>
              <w:t>LT392</w:t>
            </w:r>
          </w:p>
        </w:tc>
        <w:tc>
          <w:tcPr>
            <w:tcW w:w="1250" w:type="pct"/>
            <w:vAlign w:val="bottom"/>
          </w:tcPr>
          <w:p w14:paraId="300C0B44" w14:textId="153A762B"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262</w:t>
            </w:r>
          </w:p>
        </w:tc>
        <w:tc>
          <w:tcPr>
            <w:tcW w:w="1250" w:type="pct"/>
            <w:shd w:val="clear" w:color="auto" w:fill="auto"/>
            <w:vAlign w:val="bottom"/>
          </w:tcPr>
          <w:p w14:paraId="5919093E" w14:textId="4F55E619"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226.99</w:t>
            </w:r>
          </w:p>
        </w:tc>
        <w:tc>
          <w:tcPr>
            <w:tcW w:w="1250" w:type="pct"/>
            <w:shd w:val="clear" w:color="auto" w:fill="auto"/>
            <w:vAlign w:val="bottom"/>
          </w:tcPr>
          <w:p w14:paraId="30846BB0" w14:textId="39B4E868"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35.1</w:t>
            </w:r>
          </w:p>
        </w:tc>
      </w:tr>
      <w:tr w:rsidR="004674CA" w:rsidRPr="006176AB" w14:paraId="55DBAA8D" w14:textId="77777777" w:rsidTr="004674CA">
        <w:trPr>
          <w:trHeight w:val="20"/>
        </w:trPr>
        <w:tc>
          <w:tcPr>
            <w:tcW w:w="1250" w:type="pct"/>
            <w:shd w:val="clear" w:color="auto" w:fill="auto"/>
            <w:vAlign w:val="bottom"/>
          </w:tcPr>
          <w:p w14:paraId="3A506305" w14:textId="1F18D12B" w:rsidR="004674CA" w:rsidRDefault="004674CA" w:rsidP="004674CA">
            <w:pPr>
              <w:jc w:val="center"/>
              <w:rPr>
                <w:rFonts w:ascii="Calibri" w:hAnsi="Calibri"/>
                <w:color w:val="000000"/>
                <w:sz w:val="22"/>
                <w:szCs w:val="22"/>
              </w:rPr>
            </w:pPr>
            <w:r>
              <w:rPr>
                <w:rFonts w:ascii="Calibri" w:hAnsi="Calibri"/>
                <w:color w:val="000000"/>
                <w:sz w:val="22"/>
                <w:szCs w:val="22"/>
              </w:rPr>
              <w:t>LT393</w:t>
            </w:r>
          </w:p>
        </w:tc>
        <w:tc>
          <w:tcPr>
            <w:tcW w:w="1250" w:type="pct"/>
            <w:vAlign w:val="bottom"/>
          </w:tcPr>
          <w:p w14:paraId="38F37F1F" w14:textId="7ED3FF7F"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303</w:t>
            </w:r>
          </w:p>
        </w:tc>
        <w:tc>
          <w:tcPr>
            <w:tcW w:w="1250" w:type="pct"/>
            <w:shd w:val="clear" w:color="auto" w:fill="auto"/>
            <w:vAlign w:val="bottom"/>
          </w:tcPr>
          <w:p w14:paraId="7060ACF6" w14:textId="2D692FD7"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261.99</w:t>
            </w:r>
          </w:p>
        </w:tc>
        <w:tc>
          <w:tcPr>
            <w:tcW w:w="1250" w:type="pct"/>
            <w:shd w:val="clear" w:color="auto" w:fill="auto"/>
            <w:vAlign w:val="bottom"/>
          </w:tcPr>
          <w:p w14:paraId="47D85E5D" w14:textId="6C44AEED" w:rsidR="004674CA" w:rsidRPr="006176AB" w:rsidRDefault="004674CA" w:rsidP="004674CA">
            <w:pPr>
              <w:jc w:val="center"/>
              <w:rPr>
                <w:rFonts w:ascii="Arial" w:hAnsi="Arial" w:cs="Arial"/>
                <w:color w:val="000000"/>
                <w:sz w:val="20"/>
                <w:szCs w:val="20"/>
              </w:rPr>
            </w:pPr>
            <w:r>
              <w:rPr>
                <w:rFonts w:ascii="Calibri" w:hAnsi="Calibri"/>
                <w:color w:val="000000"/>
                <w:sz w:val="22"/>
                <w:szCs w:val="22"/>
              </w:rPr>
              <w:t>41.4</w:t>
            </w:r>
          </w:p>
        </w:tc>
      </w:tr>
    </w:tbl>
    <w:p w14:paraId="4633576D" w14:textId="12C4F1ED" w:rsidR="00EF6429" w:rsidRDefault="00EF6429" w:rsidP="001A3026">
      <w:pPr>
        <w:rPr>
          <w:rFonts w:ascii="Arial" w:hAnsi="Arial" w:cs="Arial"/>
          <w:sz w:val="20"/>
          <w:szCs w:val="20"/>
          <w:highlight w:val="yellow"/>
        </w:rPr>
      </w:pPr>
    </w:p>
    <w:p w14:paraId="265611B8" w14:textId="2A3C2172" w:rsidR="005F710F" w:rsidRPr="005F710F" w:rsidRDefault="005F710F" w:rsidP="005F710F">
      <w:pPr>
        <w:rPr>
          <w:rFonts w:ascii="Arial" w:hAnsi="Arial" w:cs="Arial"/>
          <w:b/>
          <w:sz w:val="20"/>
          <w:szCs w:val="20"/>
        </w:rPr>
      </w:pPr>
      <w:r w:rsidRPr="005F710F">
        <w:rPr>
          <w:rFonts w:ascii="Arial" w:hAnsi="Arial" w:cs="Arial"/>
          <w:b/>
          <w:sz w:val="20"/>
          <w:szCs w:val="20"/>
        </w:rPr>
        <w:t>Calculation Method Process</w:t>
      </w:r>
      <w:r w:rsidR="00EC1A20">
        <w:rPr>
          <w:rFonts w:ascii="Arial" w:hAnsi="Arial" w:cs="Arial"/>
          <w:b/>
          <w:sz w:val="20"/>
          <w:szCs w:val="20"/>
        </w:rPr>
        <w:t xml:space="preserve"> for Defining Measures</w:t>
      </w:r>
    </w:p>
    <w:p w14:paraId="4EF28993" w14:textId="4D7742B6" w:rsidR="005F710F" w:rsidRPr="00457464" w:rsidRDefault="00EC1A20" w:rsidP="005F710F">
      <w:pPr>
        <w:rPr>
          <w:rFonts w:ascii="Arial" w:hAnsi="Arial" w:cs="Arial"/>
          <w:sz w:val="20"/>
          <w:szCs w:val="20"/>
        </w:rPr>
      </w:pPr>
      <w:r w:rsidRPr="00457464">
        <w:rPr>
          <w:rFonts w:ascii="Arial" w:hAnsi="Arial" w:cs="Arial"/>
          <w:sz w:val="20"/>
          <w:szCs w:val="20"/>
        </w:rPr>
        <w:t xml:space="preserve">Below </w:t>
      </w:r>
      <w:r w:rsidR="00457464" w:rsidRPr="00457464">
        <w:rPr>
          <w:rFonts w:ascii="Arial" w:hAnsi="Arial" w:cs="Arial"/>
          <w:sz w:val="20"/>
          <w:szCs w:val="20"/>
        </w:rPr>
        <w:t xml:space="preserve">in </w:t>
      </w:r>
      <w:r w:rsidR="00457464" w:rsidRPr="1AA8F051">
        <w:fldChar w:fldCharType="begin"/>
      </w:r>
      <w:r w:rsidR="00457464" w:rsidRPr="00457464">
        <w:rPr>
          <w:rFonts w:ascii="Arial" w:hAnsi="Arial" w:cs="Arial"/>
          <w:sz w:val="20"/>
          <w:szCs w:val="20"/>
        </w:rPr>
        <w:instrText xml:space="preserve"> REF _Ref511031185 \h  \* MERGEFORMAT </w:instrText>
      </w:r>
      <w:r w:rsidR="00457464" w:rsidRPr="1AA8F051">
        <w:rPr>
          <w:rFonts w:ascii="Arial" w:hAnsi="Arial" w:cs="Arial"/>
          <w:sz w:val="20"/>
          <w:szCs w:val="20"/>
        </w:rPr>
        <w:fldChar w:fldCharType="separate"/>
      </w:r>
      <w:r w:rsidR="00457464" w:rsidRPr="00457464">
        <w:rPr>
          <w:rFonts w:ascii="Arial" w:hAnsi="Arial" w:cs="Arial"/>
          <w:sz w:val="20"/>
          <w:szCs w:val="20"/>
        </w:rPr>
        <w:t xml:space="preserve">Table </w:t>
      </w:r>
      <w:r w:rsidR="00457464" w:rsidRPr="00457464">
        <w:rPr>
          <w:rFonts w:ascii="Arial" w:hAnsi="Arial" w:cs="Arial"/>
          <w:noProof/>
          <w:sz w:val="20"/>
          <w:szCs w:val="20"/>
        </w:rPr>
        <w:t>12</w:t>
      </w:r>
      <w:r w:rsidR="00457464" w:rsidRPr="1AA8F051">
        <w:fldChar w:fldCharType="end"/>
      </w:r>
      <w:r w:rsidR="00457464" w:rsidRPr="00457464">
        <w:rPr>
          <w:rFonts w:ascii="Arial" w:hAnsi="Arial" w:cs="Arial"/>
          <w:sz w:val="20"/>
          <w:szCs w:val="20"/>
        </w:rPr>
        <w:t xml:space="preserve"> is an example of the type of information that can be obtained from photometric data:</w:t>
      </w:r>
    </w:p>
    <w:p w14:paraId="20C4D806" w14:textId="77777777" w:rsidR="00EC1A20" w:rsidRPr="00457464" w:rsidRDefault="00EC1A20" w:rsidP="005F710F">
      <w:pPr>
        <w:rPr>
          <w:rFonts w:ascii="Arial" w:hAnsi="Arial" w:cs="Arial"/>
          <w:b/>
          <w:bCs/>
          <w:sz w:val="20"/>
          <w:szCs w:val="20"/>
        </w:rPr>
      </w:pPr>
    </w:p>
    <w:p w14:paraId="457B0BEA" w14:textId="4BCD98B2" w:rsidR="002040A8" w:rsidRPr="00457464" w:rsidRDefault="002040A8" w:rsidP="00457464">
      <w:pPr>
        <w:pStyle w:val="Caption"/>
        <w:keepNext/>
        <w:jc w:val="center"/>
        <w:rPr>
          <w:rFonts w:ascii="Arial" w:hAnsi="Arial" w:cs="Arial"/>
        </w:rPr>
      </w:pPr>
      <w:bookmarkStart w:id="144" w:name="_Ref511031185"/>
      <w:bookmarkStart w:id="145" w:name="_Toc511038016"/>
      <w:bookmarkStart w:id="146" w:name="_Toc511244281"/>
      <w:bookmarkStart w:id="147" w:name="_Toc511244306"/>
      <w:bookmarkStart w:id="148" w:name="_Toc511244925"/>
      <w:r w:rsidRPr="00457464">
        <w:rPr>
          <w:rFonts w:ascii="Arial" w:hAnsi="Arial" w:cs="Arial"/>
        </w:rPr>
        <w:t xml:space="preserve">Table </w:t>
      </w:r>
      <w:r w:rsidRPr="1AA8F051">
        <w:fldChar w:fldCharType="begin"/>
      </w:r>
      <w:r w:rsidRPr="00457464">
        <w:rPr>
          <w:rFonts w:ascii="Arial" w:hAnsi="Arial" w:cs="Arial"/>
        </w:rPr>
        <w:instrText xml:space="preserve"> SEQ Table \* ARABIC </w:instrText>
      </w:r>
      <w:r w:rsidRPr="1AA8F051">
        <w:rPr>
          <w:rFonts w:ascii="Arial" w:hAnsi="Arial" w:cs="Arial"/>
        </w:rPr>
        <w:fldChar w:fldCharType="separate"/>
      </w:r>
      <w:r w:rsidR="00E94C25">
        <w:rPr>
          <w:rFonts w:ascii="Arial" w:hAnsi="Arial" w:cs="Arial"/>
          <w:noProof/>
        </w:rPr>
        <w:t>16</w:t>
      </w:r>
      <w:r w:rsidRPr="1AA8F051">
        <w:fldChar w:fldCharType="end"/>
      </w:r>
      <w:bookmarkEnd w:id="144"/>
      <w:r w:rsidR="00457464">
        <w:rPr>
          <w:rFonts w:ascii="Arial" w:hAnsi="Arial" w:cs="Arial"/>
        </w:rPr>
        <w:t xml:space="preserve"> Example of Photometric Data from “.ies” file</w:t>
      </w:r>
      <w:bookmarkEnd w:id="145"/>
      <w:bookmarkEnd w:id="146"/>
      <w:bookmarkEnd w:id="147"/>
      <w:bookmarkEnd w:id="1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1632"/>
        <w:gridCol w:w="1465"/>
        <w:gridCol w:w="1982"/>
        <w:gridCol w:w="1978"/>
      </w:tblGrid>
      <w:tr w:rsidR="00457464" w:rsidRPr="00457464" w14:paraId="7363E664" w14:textId="4E5CDB6A" w:rsidTr="00457464">
        <w:trPr>
          <w:trHeight w:val="485"/>
          <w:jc w:val="center"/>
        </w:trPr>
        <w:tc>
          <w:tcPr>
            <w:tcW w:w="1315" w:type="pct"/>
            <w:shd w:val="clear" w:color="auto" w:fill="D9D9D9" w:themeFill="background1" w:themeFillShade="D9"/>
            <w:vAlign w:val="center"/>
            <w:hideMark/>
          </w:tcPr>
          <w:p w14:paraId="09087D7D" w14:textId="66F3C6B1" w:rsidR="00457464" w:rsidRPr="00457464" w:rsidRDefault="00457464" w:rsidP="009E01EA">
            <w:pPr>
              <w:jc w:val="center"/>
              <w:rPr>
                <w:rFonts w:ascii="Arial" w:hAnsi="Arial" w:cs="Arial"/>
                <w:b/>
                <w:color w:val="000000"/>
                <w:sz w:val="20"/>
                <w:szCs w:val="20"/>
              </w:rPr>
            </w:pPr>
            <w:r w:rsidRPr="1AA8F051">
              <w:rPr>
                <w:rFonts w:ascii="Arial" w:hAnsi="Arial"/>
                <w:b/>
                <w:color w:val="000000" w:themeColor="text1"/>
                <w:sz w:val="20"/>
              </w:rPr>
              <w:t>Type</w:t>
            </w:r>
          </w:p>
        </w:tc>
        <w:tc>
          <w:tcPr>
            <w:tcW w:w="852" w:type="pct"/>
            <w:shd w:val="clear" w:color="auto" w:fill="D9D9D9" w:themeFill="background1" w:themeFillShade="D9"/>
            <w:vAlign w:val="center"/>
            <w:hideMark/>
          </w:tcPr>
          <w:p w14:paraId="25C2D56A" w14:textId="51FA00AC" w:rsidR="00457464" w:rsidRPr="00457464" w:rsidRDefault="00457464" w:rsidP="009E01EA">
            <w:pPr>
              <w:jc w:val="center"/>
              <w:rPr>
                <w:rFonts w:ascii="Arial" w:hAnsi="Arial" w:cs="Arial"/>
                <w:b/>
                <w:color w:val="000000"/>
                <w:sz w:val="20"/>
                <w:szCs w:val="20"/>
              </w:rPr>
            </w:pPr>
            <w:r w:rsidRPr="1AA8F051">
              <w:rPr>
                <w:rFonts w:ascii="Arial" w:hAnsi="Arial"/>
                <w:b/>
                <w:color w:val="000000" w:themeColor="text1"/>
                <w:sz w:val="20"/>
              </w:rPr>
              <w:t>Fluorescent Lamp Qty</w:t>
            </w:r>
          </w:p>
        </w:tc>
        <w:tc>
          <w:tcPr>
            <w:tcW w:w="765" w:type="pct"/>
            <w:shd w:val="clear" w:color="auto" w:fill="D9D9D9" w:themeFill="background1" w:themeFillShade="D9"/>
            <w:vAlign w:val="center"/>
            <w:hideMark/>
          </w:tcPr>
          <w:p w14:paraId="3E821568" w14:textId="78AFB36B" w:rsidR="00457464" w:rsidRPr="00457464" w:rsidRDefault="00457464" w:rsidP="009E01EA">
            <w:pPr>
              <w:jc w:val="center"/>
              <w:rPr>
                <w:rFonts w:ascii="Arial" w:hAnsi="Arial" w:cs="Arial"/>
                <w:b/>
                <w:color w:val="000000"/>
                <w:sz w:val="20"/>
                <w:szCs w:val="20"/>
              </w:rPr>
            </w:pPr>
            <w:r w:rsidRPr="1AA8F051">
              <w:rPr>
                <w:rFonts w:ascii="Arial" w:hAnsi="Arial"/>
                <w:b/>
                <w:color w:val="000000" w:themeColor="text1"/>
                <w:sz w:val="20"/>
              </w:rPr>
              <w:t>IES Fixture Lumens</w:t>
            </w:r>
          </w:p>
        </w:tc>
        <w:tc>
          <w:tcPr>
            <w:tcW w:w="1035" w:type="pct"/>
            <w:shd w:val="clear" w:color="auto" w:fill="D9D9D9" w:themeFill="background1" w:themeFillShade="D9"/>
            <w:vAlign w:val="center"/>
          </w:tcPr>
          <w:p w14:paraId="48F02F95" w14:textId="4C81DA98" w:rsidR="00457464" w:rsidRPr="00457464" w:rsidRDefault="00457464" w:rsidP="009E01EA">
            <w:pPr>
              <w:jc w:val="center"/>
              <w:rPr>
                <w:rFonts w:ascii="Arial" w:hAnsi="Arial" w:cs="Arial"/>
                <w:b/>
                <w:color w:val="000000"/>
                <w:sz w:val="20"/>
                <w:szCs w:val="20"/>
              </w:rPr>
            </w:pPr>
            <w:r w:rsidRPr="1AA8F051">
              <w:rPr>
                <w:rFonts w:ascii="Arial" w:hAnsi="Arial"/>
                <w:b/>
                <w:color w:val="000000" w:themeColor="text1"/>
                <w:sz w:val="20"/>
              </w:rPr>
              <w:t>Average ZL-HB 20-50</w:t>
            </w:r>
          </w:p>
        </w:tc>
        <w:tc>
          <w:tcPr>
            <w:tcW w:w="1033" w:type="pct"/>
            <w:shd w:val="clear" w:color="auto" w:fill="D9D9D9" w:themeFill="background1" w:themeFillShade="D9"/>
            <w:vAlign w:val="center"/>
          </w:tcPr>
          <w:p w14:paraId="783E8C41" w14:textId="29E4C898" w:rsidR="00457464" w:rsidRPr="00457464" w:rsidRDefault="00457464" w:rsidP="009E01EA">
            <w:pPr>
              <w:jc w:val="center"/>
              <w:rPr>
                <w:rFonts w:ascii="Arial" w:hAnsi="Arial" w:cs="Arial"/>
                <w:b/>
                <w:color w:val="000000"/>
                <w:sz w:val="20"/>
                <w:szCs w:val="20"/>
              </w:rPr>
            </w:pPr>
            <w:r w:rsidRPr="1AA8F051">
              <w:rPr>
                <w:rFonts w:ascii="Arial" w:hAnsi="Arial"/>
                <w:b/>
                <w:color w:val="000000" w:themeColor="text1"/>
                <w:sz w:val="20"/>
              </w:rPr>
              <w:t>Lamp Lumen on .ies file</w:t>
            </w:r>
          </w:p>
        </w:tc>
      </w:tr>
      <w:tr w:rsidR="00457464" w:rsidRPr="00457464" w14:paraId="454701AE" w14:textId="5A284212" w:rsidTr="00457464">
        <w:trPr>
          <w:trHeight w:val="288"/>
          <w:jc w:val="center"/>
        </w:trPr>
        <w:tc>
          <w:tcPr>
            <w:tcW w:w="1315" w:type="pct"/>
            <w:shd w:val="clear" w:color="auto" w:fill="auto"/>
            <w:noWrap/>
            <w:vAlign w:val="center"/>
            <w:hideMark/>
          </w:tcPr>
          <w:p w14:paraId="0F927980" w14:textId="2CD4015D" w:rsidR="00457464" w:rsidRPr="00457464" w:rsidRDefault="00457464" w:rsidP="009E01EA">
            <w:pPr>
              <w:jc w:val="center"/>
              <w:rPr>
                <w:rFonts w:ascii="Arial" w:hAnsi="Arial" w:cs="Arial"/>
                <w:color w:val="000000"/>
                <w:sz w:val="20"/>
                <w:szCs w:val="20"/>
              </w:rPr>
            </w:pPr>
            <w:r w:rsidRPr="1AA8F051">
              <w:rPr>
                <w:rFonts w:ascii="Arial" w:hAnsi="Arial"/>
                <w:color w:val="000000" w:themeColor="text1"/>
                <w:sz w:val="20"/>
              </w:rPr>
              <w:t>Fluorescent</w:t>
            </w:r>
          </w:p>
        </w:tc>
        <w:tc>
          <w:tcPr>
            <w:tcW w:w="852" w:type="pct"/>
            <w:shd w:val="clear" w:color="auto" w:fill="auto"/>
            <w:noWrap/>
            <w:vAlign w:val="center"/>
            <w:hideMark/>
          </w:tcPr>
          <w:p w14:paraId="014BD302" w14:textId="0786733A" w:rsidR="00457464" w:rsidRPr="00457464" w:rsidRDefault="00457464" w:rsidP="009E01EA">
            <w:pPr>
              <w:jc w:val="center"/>
              <w:rPr>
                <w:rFonts w:ascii="Arial" w:hAnsi="Arial" w:cs="Arial"/>
                <w:color w:val="000000"/>
                <w:sz w:val="20"/>
                <w:szCs w:val="20"/>
              </w:rPr>
            </w:pPr>
            <w:r w:rsidRPr="1AA8F051">
              <w:rPr>
                <w:rFonts w:ascii="Arial" w:hAnsi="Arial"/>
                <w:color w:val="000000" w:themeColor="text1"/>
                <w:sz w:val="20"/>
              </w:rPr>
              <w:t>2</w:t>
            </w:r>
          </w:p>
        </w:tc>
        <w:tc>
          <w:tcPr>
            <w:tcW w:w="765" w:type="pct"/>
            <w:shd w:val="clear" w:color="auto" w:fill="auto"/>
            <w:noWrap/>
            <w:vAlign w:val="center"/>
            <w:hideMark/>
          </w:tcPr>
          <w:p w14:paraId="54EAAD58" w14:textId="1886BC7C" w:rsidR="00457464" w:rsidRPr="00457464" w:rsidRDefault="00457464" w:rsidP="009E01EA">
            <w:pPr>
              <w:jc w:val="center"/>
              <w:rPr>
                <w:rFonts w:ascii="Arial" w:hAnsi="Arial" w:cs="Arial"/>
                <w:color w:val="000000"/>
                <w:sz w:val="20"/>
                <w:szCs w:val="20"/>
              </w:rPr>
            </w:pPr>
            <w:r w:rsidRPr="1AA8F051">
              <w:rPr>
                <w:rFonts w:ascii="Arial" w:hAnsi="Arial"/>
                <w:color w:val="000000" w:themeColor="text1"/>
                <w:sz w:val="20"/>
              </w:rPr>
              <w:t>5026</w:t>
            </w:r>
          </w:p>
        </w:tc>
        <w:tc>
          <w:tcPr>
            <w:tcW w:w="1035" w:type="pct"/>
            <w:vAlign w:val="center"/>
          </w:tcPr>
          <w:p w14:paraId="1DA6F37D" w14:textId="7B8D209E" w:rsidR="00457464" w:rsidRPr="00457464" w:rsidRDefault="00457464" w:rsidP="009E01EA">
            <w:pPr>
              <w:jc w:val="center"/>
              <w:rPr>
                <w:rFonts w:ascii="Arial" w:hAnsi="Arial" w:cs="Arial"/>
                <w:color w:val="000000" w:themeColor="text1"/>
                <w:sz w:val="20"/>
                <w:szCs w:val="20"/>
              </w:rPr>
            </w:pPr>
            <w:r w:rsidRPr="00457464">
              <w:rPr>
                <w:rFonts w:ascii="Arial" w:hAnsi="Arial" w:cs="Arial"/>
                <w:color w:val="000000" w:themeColor="text1"/>
                <w:sz w:val="20"/>
                <w:szCs w:val="20"/>
              </w:rPr>
              <w:t>44.71%</w:t>
            </w:r>
          </w:p>
        </w:tc>
        <w:tc>
          <w:tcPr>
            <w:tcW w:w="1033" w:type="pct"/>
          </w:tcPr>
          <w:p w14:paraId="30795CBC" w14:textId="05F4DBF5" w:rsidR="00457464" w:rsidRPr="00457464" w:rsidRDefault="00457464" w:rsidP="009E01EA">
            <w:pPr>
              <w:jc w:val="center"/>
              <w:rPr>
                <w:rFonts w:ascii="Arial" w:hAnsi="Arial" w:cs="Arial"/>
                <w:color w:val="000000" w:themeColor="text1"/>
                <w:sz w:val="20"/>
                <w:szCs w:val="20"/>
              </w:rPr>
            </w:pPr>
            <w:r w:rsidRPr="00457464">
              <w:rPr>
                <w:rFonts w:ascii="Arial" w:hAnsi="Arial" w:cs="Arial"/>
                <w:color w:val="000000" w:themeColor="text1"/>
                <w:sz w:val="20"/>
                <w:szCs w:val="20"/>
              </w:rPr>
              <w:t>2,900</w:t>
            </w:r>
          </w:p>
        </w:tc>
      </w:tr>
    </w:tbl>
    <w:p w14:paraId="50184D7F" w14:textId="61942AE4" w:rsidR="005F710F" w:rsidRDefault="005F710F" w:rsidP="005F710F">
      <w:pPr>
        <w:rPr>
          <w:rFonts w:ascii="Arial" w:hAnsi="Arial" w:cs="Arial"/>
          <w:b/>
          <w:bCs/>
          <w:sz w:val="20"/>
          <w:szCs w:val="20"/>
        </w:rPr>
      </w:pPr>
    </w:p>
    <w:p w14:paraId="106DA308" w14:textId="032994AD" w:rsidR="002C1CFC" w:rsidRPr="002C1CFC" w:rsidRDefault="002C1CFC" w:rsidP="006666F0">
      <w:pPr>
        <w:numPr>
          <w:ilvl w:val="0"/>
          <w:numId w:val="20"/>
        </w:numPr>
        <w:contextualSpacing/>
        <w:rPr>
          <w:rFonts w:ascii="Arial" w:hAnsi="Arial" w:cs="Arial"/>
          <w:sz w:val="20"/>
          <w:szCs w:val="20"/>
        </w:rPr>
      </w:pPr>
      <w:r w:rsidRPr="002C1CFC">
        <w:rPr>
          <w:rFonts w:ascii="Arial" w:hAnsi="Arial" w:cs="Arial"/>
          <w:sz w:val="20"/>
          <w:szCs w:val="20"/>
        </w:rPr>
        <w:t>75.4% fixture efficiency was calculated by examining the IES Fixture Lumens divided by the lamp lumens emitted with a ballast factor of 1.15.</w:t>
      </w:r>
    </w:p>
    <w:p w14:paraId="0C3E568E" w14:textId="23E6853C" w:rsidR="00457464" w:rsidRDefault="002C1CFC" w:rsidP="006666F0">
      <w:pPr>
        <w:numPr>
          <w:ilvl w:val="0"/>
          <w:numId w:val="20"/>
        </w:numPr>
        <w:contextualSpacing/>
        <w:rPr>
          <w:rFonts w:ascii="Arial" w:hAnsi="Arial" w:cs="Arial"/>
          <w:sz w:val="20"/>
          <w:szCs w:val="20"/>
        </w:rPr>
      </w:pPr>
      <w:r w:rsidRPr="002C1CFC">
        <w:rPr>
          <w:rFonts w:ascii="Arial" w:hAnsi="Arial" w:cs="Arial"/>
          <w:sz w:val="20"/>
          <w:szCs w:val="20"/>
        </w:rPr>
        <w:lastRenderedPageBreak/>
        <w:t>The</w:t>
      </w:r>
      <w:r>
        <w:rPr>
          <w:rFonts w:ascii="Arial" w:hAnsi="Arial" w:cs="Arial"/>
          <w:sz w:val="20"/>
          <w:szCs w:val="20"/>
        </w:rPr>
        <w:t xml:space="preserve"> fixture lumens of 5,286 are calculated by multiplying the lamp quantity, the ballast factor, lamp lumens for HPT8, and fixture efficiency.  This is the amount of lumens exiting the fixture.</w:t>
      </w:r>
    </w:p>
    <w:p w14:paraId="5D922590" w14:textId="4CEADD74" w:rsidR="002C1CFC" w:rsidRPr="00116E72" w:rsidRDefault="002C1CFC" w:rsidP="006666F0">
      <w:pPr>
        <w:numPr>
          <w:ilvl w:val="0"/>
          <w:numId w:val="20"/>
        </w:numPr>
        <w:contextualSpacing/>
        <w:rPr>
          <w:rFonts w:ascii="Arial" w:hAnsi="Arial" w:cs="Arial"/>
          <w:sz w:val="20"/>
          <w:szCs w:val="20"/>
        </w:rPr>
      </w:pPr>
      <w:r>
        <w:rPr>
          <w:rFonts w:ascii="Arial" w:hAnsi="Arial" w:cs="Arial"/>
          <w:sz w:val="20"/>
          <w:szCs w:val="20"/>
        </w:rPr>
        <w:t>The</w:t>
      </w:r>
      <w:r w:rsidR="00116E72">
        <w:rPr>
          <w:rFonts w:ascii="Arial" w:hAnsi="Arial" w:cs="Arial"/>
          <w:sz w:val="20"/>
          <w:szCs w:val="20"/>
        </w:rPr>
        <w:t xml:space="preserve"> LED zonal lumen percentage is the amount of lumens in the 20-50 degree zone from nadir compared to the total lumen output of the fixture.  This was calculated using an average of all of the DLC QPL</w:t>
      </w:r>
      <w:r w:rsidR="00D7474A">
        <w:rPr>
          <w:rFonts w:ascii="Arial" w:hAnsi="Arial" w:cs="Arial"/>
          <w:sz w:val="20"/>
          <w:szCs w:val="20"/>
        </w:rPr>
        <w:t xml:space="preserve"> entries</w:t>
      </w:r>
      <w:r w:rsidR="00116E72">
        <w:rPr>
          <w:rFonts w:ascii="Arial" w:hAnsi="Arial" w:cs="Arial"/>
          <w:sz w:val="20"/>
          <w:szCs w:val="20"/>
        </w:rPr>
        <w:t xml:space="preserve">.  </w:t>
      </w:r>
      <w:r w:rsidR="00D7474A">
        <w:rPr>
          <w:rFonts w:ascii="Arial" w:hAnsi="Arial" w:cs="Arial"/>
          <w:sz w:val="20"/>
          <w:szCs w:val="20"/>
        </w:rPr>
        <w:t>The</w:t>
      </w:r>
      <w:r w:rsidR="00116E72">
        <w:rPr>
          <w:rFonts w:ascii="Arial" w:hAnsi="Arial" w:cs="Arial"/>
          <w:sz w:val="20"/>
          <w:szCs w:val="20"/>
        </w:rPr>
        <w:t xml:space="preserve"> value is 53.6%.</w:t>
      </w:r>
    </w:p>
    <w:p w14:paraId="4F61E072" w14:textId="6BE8213F" w:rsidR="002040A8" w:rsidRPr="00457464" w:rsidRDefault="002040A8" w:rsidP="005F710F">
      <w:pPr>
        <w:rPr>
          <w:rFonts w:ascii="Arial" w:hAnsi="Arial" w:cs="Arial"/>
          <w:b/>
          <w:bCs/>
          <w:sz w:val="20"/>
          <w:szCs w:val="20"/>
        </w:rPr>
      </w:pPr>
    </w:p>
    <w:p w14:paraId="7E94B446" w14:textId="051D70C0" w:rsidR="002040A8" w:rsidRPr="00457464" w:rsidRDefault="002040A8" w:rsidP="00D7474A">
      <w:pPr>
        <w:pStyle w:val="Caption"/>
        <w:keepNext/>
        <w:jc w:val="center"/>
        <w:rPr>
          <w:rFonts w:ascii="Arial" w:hAnsi="Arial" w:cs="Arial"/>
        </w:rPr>
      </w:pPr>
      <w:bookmarkStart w:id="149" w:name="_Toc511038017"/>
      <w:bookmarkStart w:id="150" w:name="_Toc511244282"/>
      <w:bookmarkStart w:id="151" w:name="_Toc511244307"/>
      <w:bookmarkStart w:id="152" w:name="_Toc511244926"/>
      <w:r w:rsidRPr="00457464">
        <w:rPr>
          <w:rFonts w:ascii="Arial" w:hAnsi="Arial" w:cs="Arial"/>
        </w:rPr>
        <w:t xml:space="preserve">Table </w:t>
      </w:r>
      <w:r w:rsidRPr="1AA8F051">
        <w:fldChar w:fldCharType="begin"/>
      </w:r>
      <w:r w:rsidRPr="00457464">
        <w:rPr>
          <w:rFonts w:ascii="Arial" w:hAnsi="Arial" w:cs="Arial"/>
        </w:rPr>
        <w:instrText xml:space="preserve"> SEQ Table \* ARABIC </w:instrText>
      </w:r>
      <w:r w:rsidRPr="1AA8F051">
        <w:rPr>
          <w:rFonts w:ascii="Arial" w:hAnsi="Arial" w:cs="Arial"/>
        </w:rPr>
        <w:fldChar w:fldCharType="separate"/>
      </w:r>
      <w:r w:rsidR="00E94C25">
        <w:rPr>
          <w:rFonts w:ascii="Arial" w:hAnsi="Arial" w:cs="Arial"/>
          <w:noProof/>
        </w:rPr>
        <w:t>17</w:t>
      </w:r>
      <w:r w:rsidRPr="1AA8F051">
        <w:fldChar w:fldCharType="end"/>
      </w:r>
      <w:r w:rsidR="002C1CFC">
        <w:rPr>
          <w:rFonts w:ascii="Arial" w:hAnsi="Arial" w:cs="Arial"/>
        </w:rPr>
        <w:t xml:space="preserve"> Example Calculation of Fixture Efficiency and Fixture Lumens</w:t>
      </w:r>
      <w:bookmarkEnd w:id="149"/>
      <w:bookmarkEnd w:id="150"/>
      <w:bookmarkEnd w:id="151"/>
      <w:bookmarkEnd w:id="152"/>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352"/>
        <w:gridCol w:w="1214"/>
        <w:gridCol w:w="1644"/>
        <w:gridCol w:w="1642"/>
        <w:gridCol w:w="1640"/>
      </w:tblGrid>
      <w:tr w:rsidR="002C1CFC" w:rsidRPr="00457464" w14:paraId="2B08080B" w14:textId="5A73369D" w:rsidTr="002C1CFC">
        <w:trPr>
          <w:trHeight w:val="485"/>
          <w:jc w:val="center"/>
        </w:trPr>
        <w:tc>
          <w:tcPr>
            <w:tcW w:w="1089" w:type="pct"/>
            <w:shd w:val="clear" w:color="auto" w:fill="D9D9D9" w:themeFill="background1" w:themeFillShade="D9"/>
            <w:vAlign w:val="center"/>
            <w:hideMark/>
          </w:tcPr>
          <w:p w14:paraId="6299F2EB" w14:textId="77777777"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Type</w:t>
            </w:r>
          </w:p>
        </w:tc>
        <w:tc>
          <w:tcPr>
            <w:tcW w:w="706" w:type="pct"/>
            <w:shd w:val="clear" w:color="auto" w:fill="D9D9D9" w:themeFill="background1" w:themeFillShade="D9"/>
            <w:vAlign w:val="center"/>
            <w:hideMark/>
          </w:tcPr>
          <w:p w14:paraId="4708FF2E" w14:textId="77777777"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Fluorescent Lamp Qty</w:t>
            </w:r>
          </w:p>
        </w:tc>
        <w:tc>
          <w:tcPr>
            <w:tcW w:w="634" w:type="pct"/>
            <w:shd w:val="clear" w:color="auto" w:fill="D9D9D9" w:themeFill="background1" w:themeFillShade="D9"/>
            <w:vAlign w:val="center"/>
            <w:hideMark/>
          </w:tcPr>
          <w:p w14:paraId="3F32716F" w14:textId="77777777"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Ballast Factor</w:t>
            </w:r>
          </w:p>
        </w:tc>
        <w:tc>
          <w:tcPr>
            <w:tcW w:w="858" w:type="pct"/>
            <w:shd w:val="clear" w:color="auto" w:fill="D9D9D9" w:themeFill="background1" w:themeFillShade="D9"/>
            <w:vAlign w:val="center"/>
            <w:hideMark/>
          </w:tcPr>
          <w:p w14:paraId="0D36947B" w14:textId="6B52FAEB"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HPT8 Lamp Lumens</w:t>
            </w:r>
          </w:p>
        </w:tc>
        <w:tc>
          <w:tcPr>
            <w:tcW w:w="857" w:type="pct"/>
            <w:shd w:val="clear" w:color="auto" w:fill="D9D9D9" w:themeFill="background1" w:themeFillShade="D9"/>
            <w:vAlign w:val="center"/>
          </w:tcPr>
          <w:p w14:paraId="01EAEE68" w14:textId="77777777"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Fixture Efficiency</w:t>
            </w:r>
          </w:p>
        </w:tc>
        <w:tc>
          <w:tcPr>
            <w:tcW w:w="856" w:type="pct"/>
            <w:shd w:val="clear" w:color="auto" w:fill="D9D9D9" w:themeFill="background1" w:themeFillShade="D9"/>
            <w:vAlign w:val="center"/>
          </w:tcPr>
          <w:p w14:paraId="2CC8B658" w14:textId="77777777" w:rsidR="002C1CFC" w:rsidRPr="00457464" w:rsidRDefault="002C1CFC" w:rsidP="00457464">
            <w:pPr>
              <w:jc w:val="center"/>
              <w:rPr>
                <w:rFonts w:ascii="Arial" w:hAnsi="Arial" w:cs="Arial"/>
                <w:b/>
                <w:color w:val="000000"/>
                <w:sz w:val="20"/>
                <w:szCs w:val="20"/>
              </w:rPr>
            </w:pPr>
            <w:r w:rsidRPr="1AA8F051">
              <w:rPr>
                <w:rFonts w:ascii="Arial" w:hAnsi="Arial"/>
                <w:b/>
                <w:color w:val="000000" w:themeColor="text1"/>
                <w:sz w:val="20"/>
              </w:rPr>
              <w:t>Fixture Lumens</w:t>
            </w:r>
          </w:p>
        </w:tc>
      </w:tr>
      <w:tr w:rsidR="002C1CFC" w:rsidRPr="00457464" w14:paraId="3C505A69" w14:textId="52398159" w:rsidTr="002C1CFC">
        <w:trPr>
          <w:trHeight w:val="288"/>
          <w:jc w:val="center"/>
        </w:trPr>
        <w:tc>
          <w:tcPr>
            <w:tcW w:w="1089" w:type="pct"/>
            <w:shd w:val="clear" w:color="auto" w:fill="auto"/>
            <w:noWrap/>
            <w:vAlign w:val="center"/>
            <w:hideMark/>
          </w:tcPr>
          <w:p w14:paraId="6E294FB5" w14:textId="77777777" w:rsidR="002C1CFC" w:rsidRPr="00457464" w:rsidRDefault="002C1CFC" w:rsidP="00457464">
            <w:pPr>
              <w:jc w:val="center"/>
              <w:rPr>
                <w:rFonts w:ascii="Arial" w:hAnsi="Arial" w:cs="Arial"/>
                <w:color w:val="000000"/>
                <w:sz w:val="20"/>
                <w:szCs w:val="20"/>
              </w:rPr>
            </w:pPr>
            <w:r w:rsidRPr="1AA8F051">
              <w:rPr>
                <w:rFonts w:ascii="Arial" w:hAnsi="Arial"/>
                <w:color w:val="000000" w:themeColor="text1"/>
                <w:sz w:val="20"/>
              </w:rPr>
              <w:t>Fluorescent</w:t>
            </w:r>
          </w:p>
        </w:tc>
        <w:tc>
          <w:tcPr>
            <w:tcW w:w="706" w:type="pct"/>
            <w:shd w:val="clear" w:color="auto" w:fill="auto"/>
            <w:noWrap/>
            <w:vAlign w:val="center"/>
            <w:hideMark/>
          </w:tcPr>
          <w:p w14:paraId="41E3B80F" w14:textId="77777777" w:rsidR="002C1CFC" w:rsidRPr="00457464" w:rsidRDefault="002C1CFC" w:rsidP="00457464">
            <w:pPr>
              <w:jc w:val="center"/>
              <w:rPr>
                <w:rFonts w:ascii="Arial" w:hAnsi="Arial" w:cs="Arial"/>
                <w:color w:val="000000"/>
                <w:sz w:val="20"/>
                <w:szCs w:val="20"/>
              </w:rPr>
            </w:pPr>
            <w:r w:rsidRPr="1AA8F051">
              <w:rPr>
                <w:rFonts w:ascii="Arial" w:hAnsi="Arial"/>
                <w:color w:val="000000" w:themeColor="text1"/>
                <w:sz w:val="20"/>
              </w:rPr>
              <w:t>2</w:t>
            </w:r>
          </w:p>
        </w:tc>
        <w:tc>
          <w:tcPr>
            <w:tcW w:w="634" w:type="pct"/>
            <w:shd w:val="clear" w:color="auto" w:fill="auto"/>
            <w:noWrap/>
            <w:vAlign w:val="center"/>
            <w:hideMark/>
          </w:tcPr>
          <w:p w14:paraId="5818E11A" w14:textId="77777777" w:rsidR="002C1CFC" w:rsidRPr="00457464" w:rsidRDefault="002C1CFC" w:rsidP="00457464">
            <w:pPr>
              <w:jc w:val="center"/>
              <w:rPr>
                <w:rFonts w:ascii="Arial" w:hAnsi="Arial" w:cs="Arial"/>
                <w:color w:val="000000"/>
                <w:sz w:val="20"/>
                <w:szCs w:val="20"/>
              </w:rPr>
            </w:pPr>
            <w:r w:rsidRPr="1AA8F051">
              <w:rPr>
                <w:rFonts w:ascii="Arial" w:hAnsi="Arial"/>
                <w:color w:val="000000" w:themeColor="text1"/>
                <w:sz w:val="20"/>
              </w:rPr>
              <w:t>1.15</w:t>
            </w:r>
          </w:p>
        </w:tc>
        <w:tc>
          <w:tcPr>
            <w:tcW w:w="858" w:type="pct"/>
            <w:shd w:val="clear" w:color="auto" w:fill="auto"/>
            <w:noWrap/>
            <w:vAlign w:val="center"/>
            <w:hideMark/>
          </w:tcPr>
          <w:p w14:paraId="4D80917D" w14:textId="77777777" w:rsidR="002C1CFC" w:rsidRPr="00457464" w:rsidRDefault="002C1CFC" w:rsidP="00457464">
            <w:pPr>
              <w:jc w:val="center"/>
              <w:rPr>
                <w:rFonts w:ascii="Arial" w:hAnsi="Arial" w:cs="Arial"/>
                <w:color w:val="000000" w:themeColor="text1"/>
                <w:sz w:val="20"/>
                <w:szCs w:val="20"/>
              </w:rPr>
            </w:pPr>
            <w:r w:rsidRPr="00457464">
              <w:rPr>
                <w:rFonts w:ascii="Arial" w:hAnsi="Arial" w:cs="Arial"/>
                <w:color w:val="000000" w:themeColor="text1"/>
                <w:sz w:val="20"/>
                <w:szCs w:val="20"/>
              </w:rPr>
              <w:t>3050</w:t>
            </w:r>
          </w:p>
        </w:tc>
        <w:tc>
          <w:tcPr>
            <w:tcW w:w="857" w:type="pct"/>
          </w:tcPr>
          <w:p w14:paraId="585A4997" w14:textId="77777777" w:rsidR="002C1CFC" w:rsidRPr="00457464" w:rsidRDefault="002C1CFC" w:rsidP="00457464">
            <w:pPr>
              <w:jc w:val="center"/>
              <w:rPr>
                <w:rFonts w:ascii="Arial" w:hAnsi="Arial" w:cs="Arial"/>
                <w:color w:val="000000" w:themeColor="text1"/>
                <w:sz w:val="20"/>
                <w:szCs w:val="20"/>
              </w:rPr>
            </w:pPr>
            <w:r w:rsidRPr="00457464">
              <w:rPr>
                <w:rFonts w:ascii="Arial" w:hAnsi="Arial" w:cs="Arial"/>
                <w:color w:val="000000" w:themeColor="text1"/>
                <w:sz w:val="20"/>
                <w:szCs w:val="20"/>
              </w:rPr>
              <w:t>75.4%</w:t>
            </w:r>
          </w:p>
        </w:tc>
        <w:tc>
          <w:tcPr>
            <w:tcW w:w="856" w:type="pct"/>
          </w:tcPr>
          <w:p w14:paraId="1AC61640" w14:textId="0402FB59" w:rsidR="002C1CFC" w:rsidRPr="00457464" w:rsidRDefault="002C1CFC" w:rsidP="00457464">
            <w:pPr>
              <w:jc w:val="center"/>
              <w:rPr>
                <w:rFonts w:ascii="Arial" w:hAnsi="Arial" w:cs="Arial"/>
                <w:color w:val="000000" w:themeColor="text1"/>
                <w:sz w:val="20"/>
                <w:szCs w:val="20"/>
              </w:rPr>
            </w:pPr>
            <w:r w:rsidRPr="00457464">
              <w:rPr>
                <w:rFonts w:ascii="Arial" w:hAnsi="Arial" w:cs="Arial"/>
                <w:color w:val="000000" w:themeColor="text1"/>
                <w:sz w:val="20"/>
                <w:szCs w:val="20"/>
              </w:rPr>
              <w:t>5</w:t>
            </w:r>
            <w:r>
              <w:rPr>
                <w:rFonts w:ascii="Arial" w:hAnsi="Arial" w:cs="Arial"/>
                <w:color w:val="000000" w:themeColor="text1"/>
                <w:sz w:val="20"/>
                <w:szCs w:val="20"/>
              </w:rPr>
              <w:t>,</w:t>
            </w:r>
            <w:r w:rsidRPr="00457464">
              <w:rPr>
                <w:rFonts w:ascii="Arial" w:hAnsi="Arial" w:cs="Arial"/>
                <w:color w:val="000000" w:themeColor="text1"/>
                <w:sz w:val="20"/>
                <w:szCs w:val="20"/>
              </w:rPr>
              <w:t>286</w:t>
            </w:r>
          </w:p>
        </w:tc>
      </w:tr>
    </w:tbl>
    <w:p w14:paraId="676F87CE" w14:textId="65BDF5DF" w:rsidR="009E01EA" w:rsidRDefault="009E01EA" w:rsidP="005F710F">
      <w:pPr>
        <w:rPr>
          <w:rFonts w:ascii="Arial" w:hAnsi="Arial" w:cs="Arial"/>
          <w:b/>
          <w:bCs/>
          <w:sz w:val="20"/>
          <w:szCs w:val="20"/>
        </w:rPr>
      </w:pPr>
    </w:p>
    <w:p w14:paraId="4328BE42" w14:textId="01856A8E" w:rsidR="00D7474A" w:rsidRPr="00116E72" w:rsidRDefault="00D7474A" w:rsidP="006666F0">
      <w:pPr>
        <w:numPr>
          <w:ilvl w:val="0"/>
          <w:numId w:val="20"/>
        </w:numPr>
        <w:contextualSpacing/>
        <w:rPr>
          <w:rFonts w:ascii="Arial" w:hAnsi="Arial" w:cs="Arial"/>
          <w:sz w:val="20"/>
          <w:szCs w:val="20"/>
        </w:rPr>
      </w:pPr>
      <w:r>
        <w:rPr>
          <w:rFonts w:ascii="Arial" w:hAnsi="Arial" w:cs="Arial"/>
          <w:sz w:val="20"/>
          <w:szCs w:val="20"/>
        </w:rPr>
        <w:t>To calculate the equivalent total lumens of service for LED, the fixture lumens are multiplied by the ratio of fluorescent zonal lumen percentage to LED zonal lumen percentage.</w:t>
      </w:r>
    </w:p>
    <w:p w14:paraId="4E3B943A" w14:textId="77777777" w:rsidR="002C1CFC" w:rsidRPr="00D60997" w:rsidRDefault="002C1CFC" w:rsidP="005F710F">
      <w:pPr>
        <w:rPr>
          <w:rFonts w:ascii="Arial" w:hAnsi="Arial" w:cs="Arial"/>
          <w:b/>
          <w:bCs/>
          <w:sz w:val="20"/>
          <w:szCs w:val="20"/>
        </w:rPr>
      </w:pPr>
    </w:p>
    <w:p w14:paraId="00FBF42F" w14:textId="1AC4BCA6" w:rsidR="00D7474A" w:rsidRPr="00D60997" w:rsidRDefault="00D7474A" w:rsidP="00D60997">
      <w:pPr>
        <w:pStyle w:val="Caption"/>
        <w:keepNext/>
        <w:jc w:val="center"/>
        <w:rPr>
          <w:rFonts w:ascii="Arial" w:hAnsi="Arial" w:cs="Arial"/>
        </w:rPr>
      </w:pPr>
      <w:bookmarkStart w:id="153" w:name="_Toc511038018"/>
      <w:bookmarkStart w:id="154" w:name="_Toc511244283"/>
      <w:bookmarkStart w:id="155" w:name="_Toc511244308"/>
      <w:bookmarkStart w:id="156" w:name="_Toc511244927"/>
      <w:r w:rsidRPr="00D60997">
        <w:rPr>
          <w:rFonts w:ascii="Arial" w:hAnsi="Arial" w:cs="Arial"/>
        </w:rPr>
        <w:t xml:space="preserve">Table </w:t>
      </w:r>
      <w:r w:rsidRPr="1AA8F051">
        <w:fldChar w:fldCharType="begin"/>
      </w:r>
      <w:r w:rsidRPr="00D60997">
        <w:rPr>
          <w:rFonts w:ascii="Arial" w:hAnsi="Arial" w:cs="Arial"/>
        </w:rPr>
        <w:instrText xml:space="preserve"> SEQ Table \* ARABIC </w:instrText>
      </w:r>
      <w:r w:rsidRPr="1AA8F051">
        <w:rPr>
          <w:rFonts w:ascii="Arial" w:hAnsi="Arial" w:cs="Arial"/>
        </w:rPr>
        <w:fldChar w:fldCharType="separate"/>
      </w:r>
      <w:r w:rsidR="00E94C25">
        <w:rPr>
          <w:rFonts w:ascii="Arial" w:hAnsi="Arial" w:cs="Arial"/>
          <w:noProof/>
        </w:rPr>
        <w:t>18</w:t>
      </w:r>
      <w:r w:rsidRPr="1AA8F051">
        <w:fldChar w:fldCharType="end"/>
      </w:r>
      <w:r w:rsidRPr="00D60997">
        <w:rPr>
          <w:rFonts w:ascii="Arial" w:hAnsi="Arial" w:cs="Arial"/>
        </w:rPr>
        <w:t xml:space="preserve"> Equivalent LED </w:t>
      </w:r>
      <w:r w:rsidR="00D60997">
        <w:rPr>
          <w:rFonts w:ascii="Arial" w:hAnsi="Arial" w:cs="Arial"/>
        </w:rPr>
        <w:t>Lumen O</w:t>
      </w:r>
      <w:r w:rsidRPr="00D60997">
        <w:rPr>
          <w:rFonts w:ascii="Arial" w:hAnsi="Arial" w:cs="Arial"/>
        </w:rPr>
        <w:t xml:space="preserve">utput for </w:t>
      </w:r>
      <w:r w:rsidR="00D60997">
        <w:rPr>
          <w:rFonts w:ascii="Arial" w:hAnsi="Arial" w:cs="Arial"/>
        </w:rPr>
        <w:t>S</w:t>
      </w:r>
      <w:r w:rsidRPr="00D60997">
        <w:rPr>
          <w:rFonts w:ascii="Arial" w:hAnsi="Arial" w:cs="Arial"/>
        </w:rPr>
        <w:t xml:space="preserve">imilar </w:t>
      </w:r>
      <w:r w:rsidR="00D60997">
        <w:rPr>
          <w:rFonts w:ascii="Arial" w:hAnsi="Arial" w:cs="Arial"/>
        </w:rPr>
        <w:t>L</w:t>
      </w:r>
      <w:r w:rsidRPr="00D60997">
        <w:rPr>
          <w:rFonts w:ascii="Arial" w:hAnsi="Arial" w:cs="Arial"/>
        </w:rPr>
        <w:t xml:space="preserve">evels of </w:t>
      </w:r>
      <w:r w:rsidR="00D60997">
        <w:rPr>
          <w:rFonts w:ascii="Arial" w:hAnsi="Arial" w:cs="Arial"/>
        </w:rPr>
        <w:t>S</w:t>
      </w:r>
      <w:r w:rsidRPr="00D60997">
        <w:rPr>
          <w:rFonts w:ascii="Arial" w:hAnsi="Arial" w:cs="Arial"/>
        </w:rPr>
        <w:t>ervice</w:t>
      </w:r>
      <w:bookmarkEnd w:id="153"/>
      <w:bookmarkEnd w:id="154"/>
      <w:bookmarkEnd w:id="155"/>
      <w:bookmarkEnd w:id="1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D60997" w:rsidRPr="00457464" w14:paraId="41AE38DE" w14:textId="7B273238" w:rsidTr="00D60997">
        <w:trPr>
          <w:trHeight w:val="485"/>
          <w:jc w:val="center"/>
        </w:trPr>
        <w:tc>
          <w:tcPr>
            <w:tcW w:w="1250" w:type="pct"/>
            <w:shd w:val="clear" w:color="auto" w:fill="D9D9D9" w:themeFill="background1" w:themeFillShade="D9"/>
            <w:vAlign w:val="center"/>
          </w:tcPr>
          <w:p w14:paraId="3ABC7407" w14:textId="461280B4" w:rsidR="00D60997" w:rsidRPr="00457464" w:rsidRDefault="00D60997" w:rsidP="00646D0E">
            <w:pPr>
              <w:jc w:val="center"/>
              <w:rPr>
                <w:rFonts w:ascii="Arial" w:hAnsi="Arial" w:cs="Arial"/>
                <w:b/>
                <w:color w:val="000000"/>
                <w:sz w:val="20"/>
                <w:szCs w:val="20"/>
              </w:rPr>
            </w:pPr>
            <w:r w:rsidRPr="1AA8F051">
              <w:rPr>
                <w:rFonts w:ascii="Arial" w:hAnsi="Arial"/>
                <w:b/>
                <w:color w:val="000000" w:themeColor="text1"/>
                <w:sz w:val="20"/>
              </w:rPr>
              <w:t>Fluor ZL %</w:t>
            </w:r>
          </w:p>
        </w:tc>
        <w:tc>
          <w:tcPr>
            <w:tcW w:w="1250" w:type="pct"/>
            <w:shd w:val="clear" w:color="auto" w:fill="D9D9D9" w:themeFill="background1" w:themeFillShade="D9"/>
            <w:vAlign w:val="center"/>
          </w:tcPr>
          <w:p w14:paraId="6ABC0C67" w14:textId="51DCFCFE" w:rsidR="00D60997" w:rsidRPr="00457464" w:rsidRDefault="00D60997" w:rsidP="00646D0E">
            <w:pPr>
              <w:jc w:val="center"/>
              <w:rPr>
                <w:rFonts w:ascii="Arial" w:hAnsi="Arial" w:cs="Arial"/>
                <w:b/>
                <w:color w:val="000000"/>
                <w:sz w:val="20"/>
                <w:szCs w:val="20"/>
              </w:rPr>
            </w:pPr>
            <w:r w:rsidRPr="1AA8F051">
              <w:rPr>
                <w:rFonts w:ascii="Arial" w:hAnsi="Arial"/>
                <w:b/>
                <w:color w:val="000000" w:themeColor="text1"/>
                <w:sz w:val="20"/>
              </w:rPr>
              <w:t>LED ZL %</w:t>
            </w:r>
          </w:p>
        </w:tc>
        <w:tc>
          <w:tcPr>
            <w:tcW w:w="1250" w:type="pct"/>
            <w:shd w:val="clear" w:color="auto" w:fill="D9D9D9" w:themeFill="background1" w:themeFillShade="D9"/>
            <w:vAlign w:val="center"/>
          </w:tcPr>
          <w:p w14:paraId="4B34BFC8" w14:textId="12A30960" w:rsidR="00D60997" w:rsidRPr="00457464" w:rsidRDefault="00D60997" w:rsidP="00646D0E">
            <w:pPr>
              <w:jc w:val="center"/>
              <w:rPr>
                <w:rFonts w:ascii="Arial" w:hAnsi="Arial" w:cs="Arial"/>
                <w:b/>
                <w:color w:val="000000"/>
                <w:sz w:val="20"/>
                <w:szCs w:val="20"/>
              </w:rPr>
            </w:pPr>
            <w:r w:rsidRPr="1AA8F051">
              <w:rPr>
                <w:rFonts w:ascii="Arial" w:hAnsi="Arial"/>
                <w:b/>
                <w:color w:val="000000" w:themeColor="text1"/>
                <w:sz w:val="20"/>
              </w:rPr>
              <w:t>LED Lumens</w:t>
            </w:r>
          </w:p>
        </w:tc>
        <w:tc>
          <w:tcPr>
            <w:tcW w:w="1250" w:type="pct"/>
            <w:shd w:val="clear" w:color="auto" w:fill="D9D9D9" w:themeFill="background1" w:themeFillShade="D9"/>
            <w:vAlign w:val="center"/>
          </w:tcPr>
          <w:p w14:paraId="29BE9524" w14:textId="2B8A0EA0" w:rsidR="00D60997" w:rsidRDefault="00D60997" w:rsidP="00D60997">
            <w:pPr>
              <w:jc w:val="center"/>
              <w:rPr>
                <w:rFonts w:ascii="Arial" w:hAnsi="Arial" w:cs="Arial"/>
                <w:b/>
                <w:color w:val="000000"/>
                <w:sz w:val="20"/>
                <w:szCs w:val="20"/>
              </w:rPr>
            </w:pPr>
            <w:r w:rsidRPr="1AA8F051">
              <w:rPr>
                <w:rFonts w:ascii="Arial" w:hAnsi="Arial"/>
                <w:b/>
                <w:color w:val="000000" w:themeColor="text1"/>
                <w:sz w:val="20"/>
              </w:rPr>
              <w:t>Rounded lumen bin value</w:t>
            </w:r>
          </w:p>
        </w:tc>
      </w:tr>
      <w:tr w:rsidR="00D60997" w:rsidRPr="005F710F" w14:paraId="58B9EFFC" w14:textId="24296012" w:rsidTr="00D60997">
        <w:trPr>
          <w:trHeight w:val="288"/>
          <w:jc w:val="center"/>
        </w:trPr>
        <w:tc>
          <w:tcPr>
            <w:tcW w:w="1250" w:type="pct"/>
            <w:shd w:val="clear" w:color="auto" w:fill="auto"/>
            <w:noWrap/>
            <w:vAlign w:val="center"/>
          </w:tcPr>
          <w:p w14:paraId="53C874FD" w14:textId="17E439C9" w:rsidR="00D60997" w:rsidRPr="00457464" w:rsidRDefault="00D60997" w:rsidP="00646D0E">
            <w:pPr>
              <w:jc w:val="center"/>
              <w:rPr>
                <w:rFonts w:ascii="Arial" w:hAnsi="Arial" w:cs="Arial"/>
                <w:color w:val="000000"/>
                <w:sz w:val="20"/>
                <w:szCs w:val="20"/>
              </w:rPr>
            </w:pPr>
            <w:r w:rsidRPr="1AA8F051">
              <w:rPr>
                <w:rFonts w:ascii="Arial" w:hAnsi="Arial"/>
                <w:color w:val="000000" w:themeColor="text1"/>
                <w:sz w:val="20"/>
              </w:rPr>
              <w:t>44.71%</w:t>
            </w:r>
          </w:p>
        </w:tc>
        <w:tc>
          <w:tcPr>
            <w:tcW w:w="1250" w:type="pct"/>
            <w:shd w:val="clear" w:color="auto" w:fill="auto"/>
            <w:noWrap/>
            <w:vAlign w:val="center"/>
          </w:tcPr>
          <w:p w14:paraId="4C3CEDAB" w14:textId="67DA4E56" w:rsidR="00D60997" w:rsidRPr="00457464" w:rsidRDefault="00D60997" w:rsidP="00646D0E">
            <w:pPr>
              <w:jc w:val="center"/>
              <w:rPr>
                <w:rFonts w:ascii="Arial" w:hAnsi="Arial" w:cs="Arial"/>
                <w:color w:val="000000"/>
                <w:sz w:val="20"/>
                <w:szCs w:val="20"/>
              </w:rPr>
            </w:pPr>
            <w:r w:rsidRPr="1AA8F051">
              <w:rPr>
                <w:rFonts w:ascii="Arial" w:hAnsi="Arial"/>
                <w:color w:val="000000" w:themeColor="text1"/>
                <w:sz w:val="20"/>
              </w:rPr>
              <w:t>53.6%</w:t>
            </w:r>
          </w:p>
        </w:tc>
        <w:tc>
          <w:tcPr>
            <w:tcW w:w="1250" w:type="pct"/>
            <w:shd w:val="clear" w:color="auto" w:fill="auto"/>
            <w:noWrap/>
            <w:vAlign w:val="center"/>
          </w:tcPr>
          <w:p w14:paraId="58769834" w14:textId="5E56705F" w:rsidR="00D60997" w:rsidRPr="005F710F" w:rsidRDefault="00D60997" w:rsidP="00646D0E">
            <w:pPr>
              <w:jc w:val="center"/>
              <w:rPr>
                <w:rFonts w:ascii="Arial" w:hAnsi="Arial" w:cs="Arial"/>
                <w:color w:val="000000"/>
                <w:sz w:val="20"/>
                <w:szCs w:val="20"/>
              </w:rPr>
            </w:pPr>
            <w:r w:rsidRPr="1AA8F051">
              <w:rPr>
                <w:rFonts w:ascii="Arial" w:hAnsi="Arial"/>
                <w:color w:val="000000" w:themeColor="text1"/>
                <w:sz w:val="20"/>
              </w:rPr>
              <w:t>4407.4</w:t>
            </w:r>
          </w:p>
        </w:tc>
        <w:tc>
          <w:tcPr>
            <w:tcW w:w="1250" w:type="pct"/>
            <w:vAlign w:val="center"/>
          </w:tcPr>
          <w:p w14:paraId="62575BAB" w14:textId="12311E85" w:rsidR="00D60997" w:rsidRDefault="00D60997" w:rsidP="00D60997">
            <w:pPr>
              <w:jc w:val="center"/>
              <w:rPr>
                <w:rFonts w:ascii="Arial" w:hAnsi="Arial" w:cs="Arial"/>
                <w:color w:val="000000"/>
                <w:sz w:val="20"/>
                <w:szCs w:val="20"/>
              </w:rPr>
            </w:pPr>
            <w:r w:rsidRPr="1AA8F051">
              <w:rPr>
                <w:rFonts w:ascii="Arial" w:hAnsi="Arial"/>
                <w:color w:val="000000" w:themeColor="text1"/>
                <w:sz w:val="20"/>
              </w:rPr>
              <w:t>4500</w:t>
            </w:r>
          </w:p>
        </w:tc>
      </w:tr>
    </w:tbl>
    <w:p w14:paraId="22CC4750" w14:textId="77777777" w:rsidR="002040A8" w:rsidRPr="005F710F" w:rsidRDefault="002040A8" w:rsidP="005F710F">
      <w:pPr>
        <w:rPr>
          <w:rFonts w:ascii="Arial" w:hAnsi="Arial" w:cs="Arial"/>
          <w:b/>
          <w:bCs/>
          <w:sz w:val="20"/>
          <w:szCs w:val="20"/>
        </w:rPr>
      </w:pPr>
    </w:p>
    <w:p w14:paraId="52541A54" w14:textId="77777777" w:rsidR="00D60997" w:rsidRPr="005D5338" w:rsidRDefault="00D60997" w:rsidP="006666F0">
      <w:pPr>
        <w:numPr>
          <w:ilvl w:val="0"/>
          <w:numId w:val="20"/>
        </w:numPr>
        <w:contextualSpacing/>
        <w:rPr>
          <w:rFonts w:ascii="Arial" w:hAnsi="Arial" w:cs="Arial"/>
          <w:sz w:val="20"/>
          <w:szCs w:val="20"/>
        </w:rPr>
      </w:pPr>
      <w:r w:rsidRPr="005D5338">
        <w:rPr>
          <w:rFonts w:ascii="Arial" w:hAnsi="Arial" w:cs="Arial"/>
          <w:sz w:val="20"/>
          <w:szCs w:val="20"/>
        </w:rPr>
        <w:t>The initial LED lumens is rounded to 4500 lumens.</w:t>
      </w:r>
    </w:p>
    <w:p w14:paraId="42D78177" w14:textId="4BF84D71" w:rsidR="005F710F" w:rsidRPr="005D5338" w:rsidRDefault="005F710F" w:rsidP="006666F0">
      <w:pPr>
        <w:numPr>
          <w:ilvl w:val="0"/>
          <w:numId w:val="20"/>
        </w:numPr>
        <w:contextualSpacing/>
        <w:rPr>
          <w:rFonts w:ascii="Arial" w:hAnsi="Arial" w:cs="Arial"/>
          <w:sz w:val="20"/>
          <w:szCs w:val="20"/>
        </w:rPr>
      </w:pPr>
      <w:r w:rsidRPr="005D5338">
        <w:rPr>
          <w:rFonts w:ascii="Arial" w:hAnsi="Arial" w:cs="Arial"/>
          <w:sz w:val="20"/>
          <w:szCs w:val="20"/>
        </w:rPr>
        <w:t xml:space="preserve">For a </w:t>
      </w:r>
      <w:r w:rsidR="0072055A">
        <w:rPr>
          <w:rFonts w:ascii="Arial" w:hAnsi="Arial" w:cs="Arial"/>
          <w:sz w:val="20"/>
          <w:szCs w:val="20"/>
        </w:rPr>
        <w:t>3-</w:t>
      </w:r>
      <w:r w:rsidR="00D60997" w:rsidRPr="005D5338">
        <w:rPr>
          <w:rFonts w:ascii="Arial" w:hAnsi="Arial" w:cs="Arial"/>
          <w:sz w:val="20"/>
          <w:szCs w:val="20"/>
        </w:rPr>
        <w:t>lamp linear fluorescent fixture base case,</w:t>
      </w:r>
      <w:r w:rsidRPr="005D5338">
        <w:rPr>
          <w:rFonts w:ascii="Arial" w:hAnsi="Arial" w:cs="Arial"/>
          <w:sz w:val="20"/>
          <w:szCs w:val="20"/>
        </w:rPr>
        <w:t xml:space="preserve"> the corresponding </w:t>
      </w:r>
      <w:r w:rsidR="00D60997" w:rsidRPr="005D5338">
        <w:rPr>
          <w:rFonts w:ascii="Arial" w:hAnsi="Arial" w:cs="Arial"/>
          <w:sz w:val="20"/>
          <w:szCs w:val="20"/>
        </w:rPr>
        <w:t>LED fixture output is 7264.3 lumens</w:t>
      </w:r>
      <w:r w:rsidRPr="005D5338">
        <w:rPr>
          <w:rFonts w:ascii="Arial" w:hAnsi="Arial" w:cs="Arial"/>
          <w:sz w:val="20"/>
          <w:szCs w:val="20"/>
        </w:rPr>
        <w:t>.</w:t>
      </w:r>
    </w:p>
    <w:p w14:paraId="608E8EC4" w14:textId="25E2DB92" w:rsidR="005F710F" w:rsidRPr="005D5338" w:rsidRDefault="005D5338" w:rsidP="006666F0">
      <w:pPr>
        <w:numPr>
          <w:ilvl w:val="0"/>
          <w:numId w:val="20"/>
        </w:numPr>
        <w:contextualSpacing/>
        <w:rPr>
          <w:rFonts w:ascii="Arial" w:hAnsi="Arial" w:cs="Arial"/>
          <w:sz w:val="20"/>
          <w:szCs w:val="20"/>
        </w:rPr>
      </w:pPr>
      <w:r w:rsidRPr="005D5338">
        <w:rPr>
          <w:rFonts w:ascii="Arial" w:hAnsi="Arial" w:cs="Arial"/>
          <w:sz w:val="20"/>
          <w:szCs w:val="20"/>
        </w:rPr>
        <w:t>The lower lumen bin is chosen by p</w:t>
      </w:r>
      <w:r w:rsidR="005F710F" w:rsidRPr="005D5338">
        <w:rPr>
          <w:rFonts w:ascii="Arial" w:hAnsi="Arial" w:cs="Arial"/>
          <w:sz w:val="20"/>
          <w:szCs w:val="20"/>
        </w:rPr>
        <w:t xml:space="preserve">icking the midpoint between the two </w:t>
      </w:r>
      <w:r w:rsidRPr="005D5338">
        <w:rPr>
          <w:rFonts w:ascii="Arial" w:hAnsi="Arial" w:cs="Arial"/>
          <w:sz w:val="20"/>
          <w:szCs w:val="20"/>
        </w:rPr>
        <w:t>LED lumens</w:t>
      </w:r>
      <w:r w:rsidR="005F710F" w:rsidRPr="005D5338">
        <w:rPr>
          <w:rFonts w:ascii="Arial" w:hAnsi="Arial" w:cs="Arial"/>
          <w:sz w:val="20"/>
          <w:szCs w:val="20"/>
        </w:rPr>
        <w:t xml:space="preserve"> and rounding to the nearest </w:t>
      </w:r>
      <w:r w:rsidRPr="005D5338">
        <w:rPr>
          <w:rFonts w:ascii="Arial" w:hAnsi="Arial" w:cs="Arial"/>
          <w:sz w:val="20"/>
          <w:szCs w:val="20"/>
        </w:rPr>
        <w:t>hundred.  5,8</w:t>
      </w:r>
      <w:r w:rsidR="005F710F" w:rsidRPr="005D5338">
        <w:rPr>
          <w:rFonts w:ascii="Arial" w:hAnsi="Arial" w:cs="Arial"/>
          <w:sz w:val="20"/>
          <w:szCs w:val="20"/>
        </w:rPr>
        <w:t xml:space="preserve">00 lumens is </w:t>
      </w:r>
      <w:r w:rsidRPr="005D5338">
        <w:rPr>
          <w:rFonts w:ascii="Arial" w:hAnsi="Arial" w:cs="Arial"/>
          <w:sz w:val="20"/>
          <w:szCs w:val="20"/>
        </w:rPr>
        <w:t>chosen</w:t>
      </w:r>
      <w:r w:rsidR="005F710F" w:rsidRPr="005D5338">
        <w:rPr>
          <w:rFonts w:ascii="Arial" w:hAnsi="Arial" w:cs="Arial"/>
          <w:sz w:val="20"/>
          <w:szCs w:val="20"/>
        </w:rPr>
        <w:t xml:space="preserve"> as the dividing point between </w:t>
      </w:r>
      <w:r w:rsidRPr="005D5338">
        <w:rPr>
          <w:rFonts w:ascii="Arial" w:hAnsi="Arial" w:cs="Arial"/>
          <w:sz w:val="20"/>
          <w:szCs w:val="20"/>
        </w:rPr>
        <w:t>LED equivalent of the 2-lamp linear fluorescent fixture</w:t>
      </w:r>
      <w:r w:rsidR="005F710F" w:rsidRPr="005D5338">
        <w:rPr>
          <w:rFonts w:ascii="Arial" w:hAnsi="Arial" w:cs="Arial"/>
          <w:sz w:val="20"/>
          <w:szCs w:val="20"/>
        </w:rPr>
        <w:t xml:space="preserve"> and </w:t>
      </w:r>
      <w:r w:rsidRPr="005D5338">
        <w:rPr>
          <w:rFonts w:ascii="Arial" w:hAnsi="Arial" w:cs="Arial"/>
          <w:sz w:val="20"/>
          <w:szCs w:val="20"/>
        </w:rPr>
        <w:t>3-lamp linear fluorescent fixture base case.</w:t>
      </w:r>
    </w:p>
    <w:p w14:paraId="2ADD58D9" w14:textId="596BE4EB" w:rsidR="005F710F" w:rsidRPr="005D5338" w:rsidRDefault="005F710F" w:rsidP="005F710F">
      <w:pPr>
        <w:ind w:left="720"/>
        <w:contextualSpacing/>
        <w:rPr>
          <w:rFonts w:ascii="Arial" w:hAnsi="Arial" w:cs="Arial"/>
          <w:sz w:val="20"/>
          <w:szCs w:val="20"/>
        </w:rPr>
      </w:pPr>
    </w:p>
    <w:p w14:paraId="39AB077C" w14:textId="673FC174" w:rsidR="005D5338" w:rsidRPr="005D5338" w:rsidRDefault="005D5338" w:rsidP="005D5338">
      <w:pPr>
        <w:pStyle w:val="Caption"/>
        <w:keepNext/>
        <w:jc w:val="center"/>
        <w:rPr>
          <w:rFonts w:ascii="Arial" w:hAnsi="Arial" w:cs="Arial"/>
        </w:rPr>
      </w:pPr>
      <w:bookmarkStart w:id="157" w:name="_Toc511038019"/>
      <w:bookmarkStart w:id="158" w:name="_Toc511244284"/>
      <w:bookmarkStart w:id="159" w:name="_Toc511244309"/>
      <w:bookmarkStart w:id="160" w:name="_Toc511244928"/>
      <w:r w:rsidRPr="005D5338">
        <w:rPr>
          <w:rFonts w:ascii="Arial" w:hAnsi="Arial" w:cs="Arial"/>
        </w:rPr>
        <w:t xml:space="preserve">Table </w:t>
      </w:r>
      <w:r w:rsidRPr="1AA8F051">
        <w:fldChar w:fldCharType="begin"/>
      </w:r>
      <w:r w:rsidRPr="005D5338">
        <w:rPr>
          <w:rFonts w:ascii="Arial" w:hAnsi="Arial" w:cs="Arial"/>
        </w:rPr>
        <w:instrText xml:space="preserve"> SEQ Table \* ARABIC </w:instrText>
      </w:r>
      <w:r w:rsidRPr="1AA8F051">
        <w:rPr>
          <w:rFonts w:ascii="Arial" w:hAnsi="Arial" w:cs="Arial"/>
        </w:rPr>
        <w:fldChar w:fldCharType="separate"/>
      </w:r>
      <w:r w:rsidR="00E94C25">
        <w:rPr>
          <w:rFonts w:ascii="Arial" w:hAnsi="Arial" w:cs="Arial"/>
          <w:noProof/>
        </w:rPr>
        <w:t>19</w:t>
      </w:r>
      <w:r w:rsidRPr="1AA8F051">
        <w:fldChar w:fldCharType="end"/>
      </w:r>
      <w:r w:rsidRPr="005D5338">
        <w:rPr>
          <w:rFonts w:ascii="Arial" w:hAnsi="Arial" w:cs="Arial"/>
        </w:rPr>
        <w:t xml:space="preserve"> Lower Lumen Bin Measure Definition for the Next Measure Code</w:t>
      </w:r>
      <w:bookmarkEnd w:id="157"/>
      <w:bookmarkEnd w:id="158"/>
      <w:bookmarkEnd w:id="159"/>
      <w:bookmarkEnd w:id="1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5D5338" w:rsidRPr="005D5338" w14:paraId="30BD8230" w14:textId="77777777" w:rsidTr="00635ACE">
        <w:trPr>
          <w:trHeight w:val="485"/>
          <w:jc w:val="center"/>
        </w:trPr>
        <w:tc>
          <w:tcPr>
            <w:tcW w:w="1250" w:type="pct"/>
            <w:shd w:val="clear" w:color="auto" w:fill="D9D9D9" w:themeFill="background1" w:themeFillShade="D9"/>
            <w:vAlign w:val="center"/>
          </w:tcPr>
          <w:p w14:paraId="421CFE11" w14:textId="49C19C47" w:rsidR="005D5338" w:rsidRPr="005D5338" w:rsidRDefault="005D5338" w:rsidP="00635ACE">
            <w:pPr>
              <w:jc w:val="center"/>
              <w:rPr>
                <w:rFonts w:ascii="Arial" w:hAnsi="Arial" w:cs="Arial"/>
                <w:b/>
                <w:color w:val="000000"/>
                <w:sz w:val="20"/>
                <w:szCs w:val="20"/>
              </w:rPr>
            </w:pPr>
            <w:r w:rsidRPr="1AA8F051">
              <w:rPr>
                <w:rFonts w:ascii="Arial" w:hAnsi="Arial"/>
                <w:b/>
                <w:color w:val="000000" w:themeColor="text1"/>
                <w:sz w:val="20"/>
              </w:rPr>
              <w:t>Type</w:t>
            </w:r>
          </w:p>
        </w:tc>
        <w:tc>
          <w:tcPr>
            <w:tcW w:w="1250" w:type="pct"/>
            <w:shd w:val="clear" w:color="auto" w:fill="D9D9D9" w:themeFill="background1" w:themeFillShade="D9"/>
            <w:vAlign w:val="center"/>
          </w:tcPr>
          <w:p w14:paraId="6D4BA412" w14:textId="3B8E36C5" w:rsidR="005D5338" w:rsidRPr="005D5338" w:rsidRDefault="005D5338" w:rsidP="00635ACE">
            <w:pPr>
              <w:jc w:val="center"/>
              <w:rPr>
                <w:rFonts w:ascii="Arial" w:hAnsi="Arial" w:cs="Arial"/>
                <w:b/>
                <w:color w:val="000000"/>
                <w:sz w:val="20"/>
                <w:szCs w:val="20"/>
              </w:rPr>
            </w:pPr>
            <w:r w:rsidRPr="1AA8F051">
              <w:rPr>
                <w:rFonts w:ascii="Arial" w:hAnsi="Arial"/>
                <w:b/>
                <w:color w:val="000000" w:themeColor="text1"/>
                <w:sz w:val="20"/>
              </w:rPr>
              <w:t>Lamp Qty</w:t>
            </w:r>
          </w:p>
        </w:tc>
        <w:tc>
          <w:tcPr>
            <w:tcW w:w="1250" w:type="pct"/>
            <w:shd w:val="clear" w:color="auto" w:fill="D9D9D9" w:themeFill="background1" w:themeFillShade="D9"/>
            <w:vAlign w:val="center"/>
          </w:tcPr>
          <w:p w14:paraId="09E234D6" w14:textId="77777777" w:rsidR="005D5338" w:rsidRPr="005D5338" w:rsidRDefault="005D5338" w:rsidP="00635ACE">
            <w:pPr>
              <w:jc w:val="center"/>
              <w:rPr>
                <w:rFonts w:ascii="Arial" w:hAnsi="Arial" w:cs="Arial"/>
                <w:b/>
                <w:color w:val="000000"/>
                <w:sz w:val="20"/>
                <w:szCs w:val="20"/>
              </w:rPr>
            </w:pPr>
            <w:r w:rsidRPr="1AA8F051">
              <w:rPr>
                <w:rFonts w:ascii="Arial" w:hAnsi="Arial"/>
                <w:b/>
                <w:color w:val="000000" w:themeColor="text1"/>
                <w:sz w:val="20"/>
              </w:rPr>
              <w:t>LED Lumens</w:t>
            </w:r>
          </w:p>
        </w:tc>
        <w:tc>
          <w:tcPr>
            <w:tcW w:w="1250" w:type="pct"/>
            <w:shd w:val="clear" w:color="auto" w:fill="D9D9D9" w:themeFill="background1" w:themeFillShade="D9"/>
            <w:vAlign w:val="center"/>
          </w:tcPr>
          <w:p w14:paraId="4611B79B" w14:textId="1A97D308" w:rsidR="005D5338" w:rsidRPr="005D5338" w:rsidRDefault="005D5338" w:rsidP="00635ACE">
            <w:pPr>
              <w:jc w:val="center"/>
              <w:rPr>
                <w:rFonts w:ascii="Arial" w:hAnsi="Arial" w:cs="Arial"/>
                <w:b/>
                <w:color w:val="000000"/>
                <w:sz w:val="20"/>
                <w:szCs w:val="20"/>
              </w:rPr>
            </w:pPr>
            <w:r w:rsidRPr="1AA8F051">
              <w:rPr>
                <w:rFonts w:ascii="Arial" w:hAnsi="Arial"/>
                <w:b/>
                <w:color w:val="000000" w:themeColor="text1"/>
                <w:sz w:val="20"/>
              </w:rPr>
              <w:t>Rounded Lumen Lower Bin Value</w:t>
            </w:r>
          </w:p>
        </w:tc>
      </w:tr>
      <w:tr w:rsidR="005D5338" w:rsidRPr="005D5338" w14:paraId="36B22C85" w14:textId="77777777" w:rsidTr="00635ACE">
        <w:trPr>
          <w:trHeight w:val="288"/>
          <w:jc w:val="center"/>
        </w:trPr>
        <w:tc>
          <w:tcPr>
            <w:tcW w:w="1250" w:type="pct"/>
            <w:shd w:val="clear" w:color="auto" w:fill="auto"/>
            <w:noWrap/>
            <w:vAlign w:val="center"/>
          </w:tcPr>
          <w:p w14:paraId="71382CD9" w14:textId="074B18DB" w:rsidR="005D5338" w:rsidRPr="005D5338" w:rsidRDefault="005D5338" w:rsidP="00635ACE">
            <w:pPr>
              <w:jc w:val="center"/>
              <w:rPr>
                <w:rFonts w:ascii="Arial" w:hAnsi="Arial" w:cs="Arial"/>
                <w:color w:val="000000"/>
                <w:sz w:val="20"/>
                <w:szCs w:val="20"/>
              </w:rPr>
            </w:pPr>
            <w:r w:rsidRPr="1AA8F051">
              <w:rPr>
                <w:rFonts w:ascii="Arial" w:hAnsi="Arial"/>
                <w:color w:val="000000" w:themeColor="text1"/>
                <w:sz w:val="20"/>
              </w:rPr>
              <w:t>Fluorescent</w:t>
            </w:r>
          </w:p>
        </w:tc>
        <w:tc>
          <w:tcPr>
            <w:tcW w:w="1250" w:type="pct"/>
            <w:shd w:val="clear" w:color="auto" w:fill="auto"/>
            <w:noWrap/>
            <w:vAlign w:val="center"/>
          </w:tcPr>
          <w:p w14:paraId="131D70A1" w14:textId="12B8DAA9" w:rsidR="005D5338" w:rsidRPr="005D5338" w:rsidRDefault="005D5338" w:rsidP="00635ACE">
            <w:pPr>
              <w:jc w:val="center"/>
              <w:rPr>
                <w:rFonts w:ascii="Arial" w:hAnsi="Arial" w:cs="Arial"/>
                <w:color w:val="000000"/>
                <w:sz w:val="20"/>
                <w:szCs w:val="20"/>
              </w:rPr>
            </w:pPr>
            <w:r w:rsidRPr="1AA8F051">
              <w:rPr>
                <w:rFonts w:ascii="Arial" w:hAnsi="Arial"/>
                <w:color w:val="000000" w:themeColor="text1"/>
                <w:sz w:val="20"/>
              </w:rPr>
              <w:t>3</w:t>
            </w:r>
          </w:p>
        </w:tc>
        <w:tc>
          <w:tcPr>
            <w:tcW w:w="1250" w:type="pct"/>
            <w:shd w:val="clear" w:color="auto" w:fill="auto"/>
            <w:noWrap/>
            <w:vAlign w:val="center"/>
          </w:tcPr>
          <w:p w14:paraId="6B768443" w14:textId="1B34D4B3" w:rsidR="005D5338" w:rsidRPr="005D5338" w:rsidRDefault="005D5338" w:rsidP="00635ACE">
            <w:pPr>
              <w:jc w:val="center"/>
              <w:rPr>
                <w:rFonts w:ascii="Arial" w:hAnsi="Arial" w:cs="Arial"/>
                <w:color w:val="000000"/>
                <w:sz w:val="20"/>
                <w:szCs w:val="20"/>
              </w:rPr>
            </w:pPr>
            <w:r w:rsidRPr="1AA8F051">
              <w:rPr>
                <w:rFonts w:ascii="Arial" w:hAnsi="Arial"/>
                <w:color w:val="000000" w:themeColor="text1"/>
                <w:sz w:val="20"/>
              </w:rPr>
              <w:t>7264.3</w:t>
            </w:r>
          </w:p>
        </w:tc>
        <w:tc>
          <w:tcPr>
            <w:tcW w:w="1250" w:type="pct"/>
            <w:vAlign w:val="center"/>
          </w:tcPr>
          <w:p w14:paraId="3CBCEBE3" w14:textId="1030BFB5" w:rsidR="005D5338" w:rsidRPr="005D5338" w:rsidRDefault="005D5338" w:rsidP="00635ACE">
            <w:pPr>
              <w:jc w:val="center"/>
              <w:rPr>
                <w:rFonts w:ascii="Arial" w:hAnsi="Arial" w:cs="Arial"/>
                <w:color w:val="000000"/>
                <w:sz w:val="20"/>
                <w:szCs w:val="20"/>
              </w:rPr>
            </w:pPr>
            <w:r w:rsidRPr="1AA8F051">
              <w:rPr>
                <w:rFonts w:ascii="Arial" w:hAnsi="Arial"/>
                <w:color w:val="000000" w:themeColor="text1"/>
                <w:sz w:val="20"/>
              </w:rPr>
              <w:t>5800</w:t>
            </w:r>
          </w:p>
        </w:tc>
      </w:tr>
    </w:tbl>
    <w:p w14:paraId="680B2749" w14:textId="77777777" w:rsidR="005D5338" w:rsidRPr="005D5338" w:rsidRDefault="005D5338" w:rsidP="005F710F">
      <w:pPr>
        <w:ind w:left="720"/>
        <w:contextualSpacing/>
        <w:rPr>
          <w:rFonts w:ascii="Arial" w:hAnsi="Arial" w:cs="Arial"/>
          <w:sz w:val="20"/>
          <w:szCs w:val="20"/>
        </w:rPr>
      </w:pPr>
    </w:p>
    <w:p w14:paraId="08A6576D" w14:textId="186C0195" w:rsidR="005F710F" w:rsidRPr="005F710F" w:rsidRDefault="005F710F" w:rsidP="005F710F">
      <w:pPr>
        <w:ind w:left="720"/>
        <w:contextualSpacing/>
        <w:rPr>
          <w:rFonts w:ascii="Arial" w:hAnsi="Arial" w:cs="Arial"/>
          <w:sz w:val="20"/>
          <w:szCs w:val="20"/>
        </w:rPr>
      </w:pPr>
      <w:r w:rsidRPr="005D5338">
        <w:rPr>
          <w:rFonts w:ascii="Arial" w:hAnsi="Arial" w:cs="Arial"/>
          <w:position w:val="-30"/>
          <w:sz w:val="20"/>
          <w:szCs w:val="20"/>
          <w:u w:val="single"/>
        </w:rPr>
        <w:t>Note:</w:t>
      </w:r>
      <w:r w:rsidRPr="005D5338">
        <w:rPr>
          <w:rFonts w:ascii="Arial" w:hAnsi="Arial" w:cs="Arial"/>
          <w:position w:val="-30"/>
          <w:sz w:val="20"/>
          <w:szCs w:val="20"/>
        </w:rPr>
        <w:t xml:space="preserve"> For the wattage bin calculations of all other measures, s</w:t>
      </w:r>
      <w:r w:rsidR="004674CA">
        <w:rPr>
          <w:rFonts w:ascii="Arial" w:hAnsi="Arial" w:cs="Arial"/>
          <w:position w:val="-30"/>
          <w:sz w:val="20"/>
          <w:szCs w:val="20"/>
        </w:rPr>
        <w:t>ee the savings calculation spreadsheet</w:t>
      </w:r>
      <w:r w:rsidRPr="005D5338">
        <w:rPr>
          <w:rFonts w:ascii="Arial" w:hAnsi="Arial" w:cs="Arial"/>
          <w:position w:val="-30"/>
          <w:sz w:val="20"/>
          <w:szCs w:val="20"/>
        </w:rPr>
        <w:t xml:space="preserve"> that accompanies this workpaper.</w:t>
      </w:r>
    </w:p>
    <w:p w14:paraId="1AC85853" w14:textId="77777777" w:rsidR="005F710F" w:rsidRPr="005F710F" w:rsidRDefault="005F710F" w:rsidP="001A3026">
      <w:pPr>
        <w:rPr>
          <w:rFonts w:ascii="Arial" w:hAnsi="Arial" w:cs="Arial"/>
          <w:sz w:val="20"/>
          <w:szCs w:val="20"/>
          <w:highlight w:val="yellow"/>
        </w:rPr>
      </w:pPr>
    </w:p>
    <w:p w14:paraId="1A3C2C35" w14:textId="49C76081" w:rsidR="00E97091" w:rsidRPr="002040A8" w:rsidRDefault="00C069A2" w:rsidP="003243E3">
      <w:pPr>
        <w:pStyle w:val="Heading2"/>
      </w:pPr>
      <w:bookmarkStart w:id="161" w:name="_Toc511038046"/>
      <w:bookmarkStart w:id="162" w:name="_Toc511244898"/>
      <w:r w:rsidRPr="002040A8">
        <w:t xml:space="preserve">2.1 </w:t>
      </w:r>
      <w:r w:rsidR="007878B9" w:rsidRPr="002040A8">
        <w:t xml:space="preserve">Electric </w:t>
      </w:r>
      <w:r w:rsidRPr="002040A8">
        <w:t>Energy Savings Estimation Methodologies</w:t>
      </w:r>
      <w:bookmarkEnd w:id="161"/>
      <w:bookmarkEnd w:id="162"/>
      <w:r w:rsidR="007C1DEB" w:rsidRPr="002040A8">
        <w:t xml:space="preserve"> </w:t>
      </w:r>
    </w:p>
    <w:p w14:paraId="05F344F6" w14:textId="6085D83A" w:rsidR="00B32438" w:rsidRPr="002040A8" w:rsidRDefault="00A508FD" w:rsidP="00B114EC">
      <w:pPr>
        <w:rPr>
          <w:rFonts w:ascii="Arial" w:hAnsi="Arial"/>
          <w:sz w:val="20"/>
        </w:rPr>
      </w:pPr>
      <w:r w:rsidRPr="002040A8">
        <w:rPr>
          <w:rFonts w:ascii="Arial" w:hAnsi="Arial"/>
          <w:sz w:val="20"/>
        </w:rPr>
        <w:t>The electric demand difference is the delta watts (</w:t>
      </w:r>
      <w:r w:rsidRPr="002040A8">
        <w:rPr>
          <w:rFonts w:ascii="Arial" w:hAnsi="Arial"/>
          <w:b/>
          <w:sz w:val="20"/>
        </w:rPr>
        <w:t>∆</w:t>
      </w:r>
      <w:r w:rsidRPr="002040A8">
        <w:rPr>
          <w:rFonts w:ascii="Arial" w:hAnsi="Arial"/>
          <w:sz w:val="20"/>
        </w:rPr>
        <w:t>Watts/fixture) between the electric demand of the base case fixture and the electric demand of the measure case fixture</w:t>
      </w:r>
      <w:r w:rsidR="00181303" w:rsidRPr="002040A8">
        <w:rPr>
          <w:rFonts w:ascii="Arial" w:hAnsi="Arial"/>
          <w:sz w:val="20"/>
        </w:rPr>
        <w:t xml:space="preserve"> (average wattage of the measure wattage range)</w:t>
      </w:r>
      <w:r w:rsidRPr="002040A8">
        <w:rPr>
          <w:rFonts w:ascii="Arial" w:hAnsi="Arial"/>
          <w:sz w:val="20"/>
        </w:rPr>
        <w:t xml:space="preserve">. Annual energy savings is obtained by taking the delta watts and multiplying by the annual hours of operation. Annual </w:t>
      </w:r>
      <w:r w:rsidR="003243E3" w:rsidRPr="002040A8">
        <w:rPr>
          <w:rFonts w:ascii="Arial" w:hAnsi="Arial"/>
          <w:sz w:val="20"/>
        </w:rPr>
        <w:t xml:space="preserve">Energy savings vary by market sector (building type) because of differences in operating hours and interactive effect multipliers. The annual operating hours and </w:t>
      </w:r>
      <w:r w:rsidR="00DC78BA" w:rsidRPr="002040A8">
        <w:rPr>
          <w:rFonts w:ascii="Arial" w:hAnsi="Arial"/>
          <w:sz w:val="20"/>
        </w:rPr>
        <w:t xml:space="preserve">energy </w:t>
      </w:r>
      <w:r w:rsidR="003243E3" w:rsidRPr="002040A8">
        <w:rPr>
          <w:rFonts w:ascii="Arial" w:hAnsi="Arial"/>
          <w:sz w:val="20"/>
        </w:rPr>
        <w:t>interactive effects for each segment were taken from DEER 2016 data.</w:t>
      </w:r>
    </w:p>
    <w:p w14:paraId="1CF4037B" w14:textId="1022222C" w:rsidR="00B32438" w:rsidRPr="002040A8" w:rsidRDefault="00B114EC" w:rsidP="008F103A">
      <w:pPr>
        <w:ind w:left="720"/>
        <w:rPr>
          <w:rFonts w:ascii="Arial" w:hAnsi="Arial"/>
          <w:sz w:val="20"/>
        </w:rPr>
      </w:pPr>
      <w:r w:rsidRPr="002040A8">
        <w:rPr>
          <w:position w:val="-30"/>
        </w:rPr>
        <w:object w:dxaOrig="6979" w:dyaOrig="720" w14:anchorId="0D54B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36pt" o:ole="">
            <v:imagedata r:id="rId24" o:title=""/>
          </v:shape>
          <o:OLEObject Type="Embed" ProgID="Equation.3" ShapeID="_x0000_i1025" DrawAspect="Content" ObjectID="_1584986886" r:id="rId25"/>
        </w:object>
      </w:r>
    </w:p>
    <w:p w14:paraId="58363410" w14:textId="7FE43C33" w:rsidR="00B32438" w:rsidRPr="002040A8" w:rsidRDefault="004D6535" w:rsidP="00B32438">
      <w:pPr>
        <w:rPr>
          <w:b/>
          <w:i/>
        </w:rPr>
      </w:pPr>
      <w:r w:rsidRPr="002040A8">
        <w:rPr>
          <w:b/>
          <w:i/>
        </w:rPr>
        <w:t>Annual Energy</w:t>
      </w:r>
      <w:r w:rsidR="00B32438" w:rsidRPr="002040A8">
        <w:rPr>
          <w:b/>
          <w:i/>
        </w:rPr>
        <w:t xml:space="preserve"> Savings:</w:t>
      </w:r>
    </w:p>
    <w:p w14:paraId="3278345D" w14:textId="77777777" w:rsidR="00B32438" w:rsidRPr="002040A8" w:rsidRDefault="00B32438" w:rsidP="00B32438">
      <w:pPr>
        <w:ind w:left="720"/>
        <w:rPr>
          <w:i/>
          <w:sz w:val="20"/>
        </w:rPr>
      </w:pPr>
    </w:p>
    <w:p w14:paraId="487D9280" w14:textId="77777777" w:rsidR="00B32438" w:rsidRPr="002040A8" w:rsidRDefault="00B114EC" w:rsidP="00B32438">
      <w:pPr>
        <w:ind w:left="720"/>
        <w:rPr>
          <w:i/>
          <w:sz w:val="20"/>
        </w:rPr>
      </w:pPr>
      <w:r w:rsidRPr="002040A8">
        <w:rPr>
          <w:position w:val="-30"/>
        </w:rPr>
        <w:object w:dxaOrig="8440" w:dyaOrig="720" w14:anchorId="25B4F880">
          <v:shape id="_x0000_i1026" type="#_x0000_t75" style="width:425.3pt;height:36pt" o:ole="">
            <v:imagedata r:id="rId26" o:title=""/>
          </v:shape>
          <o:OLEObject Type="Embed" ProgID="Equation.3" ShapeID="_x0000_i1026" DrawAspect="Content" ObjectID="_1584986887" r:id="rId27"/>
        </w:object>
      </w:r>
    </w:p>
    <w:p w14:paraId="216B5458" w14:textId="77777777" w:rsidR="00082437" w:rsidRPr="002040A8" w:rsidRDefault="00082437" w:rsidP="00B32438">
      <w:pPr>
        <w:rPr>
          <w:rFonts w:ascii="Arial" w:hAnsi="Arial"/>
          <w:b/>
          <w:sz w:val="20"/>
        </w:rPr>
      </w:pPr>
    </w:p>
    <w:p w14:paraId="146A139E" w14:textId="785CF68C" w:rsidR="00B32438" w:rsidRPr="002040A8" w:rsidRDefault="00082437" w:rsidP="00B32438">
      <w:r w:rsidRPr="002040A8">
        <w:rPr>
          <w:rFonts w:ascii="Arial" w:hAnsi="Arial"/>
          <w:b/>
          <w:sz w:val="20"/>
        </w:rPr>
        <w:t>Example</w:t>
      </w:r>
      <w:r w:rsidRPr="002040A8">
        <w:rPr>
          <w:rFonts w:ascii="Arial" w:hAnsi="Arial"/>
          <w:sz w:val="20"/>
        </w:rPr>
        <w:t>:</w:t>
      </w:r>
    </w:p>
    <w:p w14:paraId="447F4314" w14:textId="56A708B3" w:rsidR="00B32438" w:rsidRPr="002040A8" w:rsidRDefault="00B32438" w:rsidP="00B32438">
      <w:pPr>
        <w:rPr>
          <w:rFonts w:ascii="Arial" w:hAnsi="Arial"/>
          <w:sz w:val="20"/>
        </w:rPr>
      </w:pPr>
      <w:r w:rsidRPr="002040A8">
        <w:rPr>
          <w:rFonts w:ascii="Arial" w:hAnsi="Arial"/>
          <w:sz w:val="20"/>
        </w:rPr>
        <w:lastRenderedPageBreak/>
        <w:t>The following example calcula</w:t>
      </w:r>
      <w:r w:rsidR="003243E3" w:rsidRPr="002040A8">
        <w:rPr>
          <w:rFonts w:ascii="Arial" w:hAnsi="Arial"/>
          <w:sz w:val="20"/>
        </w:rPr>
        <w:t>tion demonstrates</w:t>
      </w:r>
      <w:r w:rsidRPr="002040A8">
        <w:rPr>
          <w:rFonts w:ascii="Arial" w:hAnsi="Arial"/>
          <w:sz w:val="20"/>
        </w:rPr>
        <w:t xml:space="preserve"> the annual electric energy savings</w:t>
      </w:r>
      <w:r w:rsidR="007F1836" w:rsidRPr="002040A8">
        <w:rPr>
          <w:rFonts w:ascii="Arial" w:hAnsi="Arial"/>
          <w:sz w:val="20"/>
        </w:rPr>
        <w:t xml:space="preserve"> in kWh,</w:t>
      </w:r>
      <w:r w:rsidR="003243E3" w:rsidRPr="002040A8">
        <w:rPr>
          <w:rFonts w:ascii="Arial" w:hAnsi="Arial"/>
          <w:sz w:val="20"/>
        </w:rPr>
        <w:t xml:space="preserve"> for the Assembly building type</w:t>
      </w:r>
      <w:r w:rsidRPr="002040A8">
        <w:rPr>
          <w:rFonts w:ascii="Arial" w:hAnsi="Arial"/>
          <w:sz w:val="20"/>
        </w:rPr>
        <w:t xml:space="preserve"> for the “</w:t>
      </w:r>
      <w:r w:rsidR="002C3514" w:rsidRPr="002C3514">
        <w:rPr>
          <w:rFonts w:ascii="Arial" w:hAnsi="Arial"/>
          <w:sz w:val="20"/>
        </w:rPr>
        <w:t>LED High/Low Bay:  110 LPW to &lt;130 LPW, 0 to &lt;48 W</w:t>
      </w:r>
      <w:r w:rsidR="004D6535" w:rsidRPr="002040A8">
        <w:rPr>
          <w:rFonts w:ascii="Arial" w:hAnsi="Arial"/>
          <w:sz w:val="20"/>
        </w:rPr>
        <w:t>”</w:t>
      </w:r>
      <w:r w:rsidRPr="002040A8">
        <w:rPr>
          <w:rFonts w:ascii="Arial" w:hAnsi="Arial"/>
          <w:sz w:val="20"/>
        </w:rPr>
        <w:t xml:space="preserve"> </w:t>
      </w:r>
      <w:r w:rsidR="003243E3" w:rsidRPr="002040A8">
        <w:rPr>
          <w:rFonts w:ascii="Arial" w:hAnsi="Arial"/>
          <w:sz w:val="20"/>
        </w:rPr>
        <w:t>measure:</w:t>
      </w:r>
    </w:p>
    <w:p w14:paraId="613D3652" w14:textId="05F3E320" w:rsidR="00B32438" w:rsidRPr="002040A8" w:rsidRDefault="00B32438" w:rsidP="00B32438">
      <w:pPr>
        <w:rPr>
          <w:rFonts w:ascii="Arial" w:hAnsi="Arial"/>
          <w:sz w:val="20"/>
        </w:rPr>
      </w:pPr>
    </w:p>
    <w:p w14:paraId="376307A7" w14:textId="3E7D51B2" w:rsidR="00CC6DB2" w:rsidRPr="002040A8" w:rsidRDefault="002C3514" w:rsidP="0017503B">
      <w:pPr>
        <w:ind w:left="720"/>
        <w:rPr>
          <w:rFonts w:ascii="Arial" w:hAnsi="Arial"/>
          <w:sz w:val="20"/>
        </w:rPr>
      </w:pPr>
      <w:r w:rsidRPr="002040A8">
        <w:rPr>
          <w:position w:val="-30"/>
        </w:rPr>
        <w:object w:dxaOrig="7380" w:dyaOrig="820" w14:anchorId="2AAE19F9">
          <v:shape id="_x0000_i1027" type="#_x0000_t75" style="width:372.55pt;height:43.55pt" o:ole="">
            <v:imagedata r:id="rId28" o:title=""/>
          </v:shape>
          <o:OLEObject Type="Embed" ProgID="Equation.3" ShapeID="_x0000_i1027" DrawAspect="Content" ObjectID="_1584986888" r:id="rId29"/>
        </w:object>
      </w:r>
    </w:p>
    <w:p w14:paraId="1CADB346" w14:textId="77777777" w:rsidR="008F103A" w:rsidRPr="002040A8" w:rsidRDefault="0017503B" w:rsidP="00D62A2D">
      <w:r w:rsidRPr="002040A8">
        <w:t>For the savings of all other measures, see the calculation spreadsheet that accompanies this report.</w:t>
      </w:r>
    </w:p>
    <w:p w14:paraId="4EF0B08C" w14:textId="4EC3405F" w:rsidR="00C069A2" w:rsidRPr="002040A8" w:rsidRDefault="004301AB" w:rsidP="002E0043">
      <w:pPr>
        <w:pStyle w:val="Heading2"/>
        <w:keepNext w:val="0"/>
      </w:pPr>
      <w:bookmarkStart w:id="163" w:name="_Toc511038047"/>
      <w:bookmarkStart w:id="164" w:name="_Toc511244899"/>
      <w:r w:rsidRPr="002040A8">
        <w:t>2.2</w:t>
      </w:r>
      <w:r w:rsidR="0030550A" w:rsidRPr="002040A8">
        <w:t xml:space="preserve"> Demand R</w:t>
      </w:r>
      <w:r w:rsidR="00C069A2" w:rsidRPr="002040A8">
        <w:t>eduction Estimation Methodologies</w:t>
      </w:r>
      <w:bookmarkEnd w:id="163"/>
      <w:bookmarkEnd w:id="164"/>
    </w:p>
    <w:p w14:paraId="4B938FEE" w14:textId="69495111" w:rsidR="0017503B" w:rsidRPr="002040A8" w:rsidRDefault="003243E3" w:rsidP="00EB46D0">
      <w:r w:rsidRPr="002040A8">
        <w:rPr>
          <w:rFonts w:ascii="Arial" w:hAnsi="Arial"/>
          <w:sz w:val="20"/>
        </w:rPr>
        <w:t xml:space="preserve">Demand reduction varies by market sector (building type) due to different HVAC interactive effects and coincident peak demand multipliers for each type of building type. The </w:t>
      </w:r>
      <w:r w:rsidR="00DC78BA" w:rsidRPr="002040A8">
        <w:rPr>
          <w:rFonts w:ascii="Arial" w:hAnsi="Arial"/>
          <w:sz w:val="20"/>
        </w:rPr>
        <w:t xml:space="preserve">demand </w:t>
      </w:r>
      <w:r w:rsidRPr="002040A8">
        <w:rPr>
          <w:rFonts w:ascii="Arial" w:hAnsi="Arial"/>
          <w:sz w:val="20"/>
        </w:rPr>
        <w:t>interactive effects, and coincident diversity factors (CDF) for each segment were taken from DEER 2016 data.</w:t>
      </w:r>
    </w:p>
    <w:p w14:paraId="483ACA44" w14:textId="2987EA67" w:rsidR="003F3DED" w:rsidRPr="002040A8" w:rsidRDefault="003F3DED" w:rsidP="003F3DED">
      <w:pPr>
        <w:ind w:left="720"/>
        <w:rPr>
          <w:rFonts w:ascii="Arial" w:hAnsi="Arial"/>
          <w:sz w:val="20"/>
        </w:rPr>
      </w:pPr>
    </w:p>
    <w:p w14:paraId="6BFBBD3C" w14:textId="3CB7FB54" w:rsidR="00DC78BA" w:rsidRPr="002040A8" w:rsidRDefault="00DC78BA" w:rsidP="00181303">
      <w:pPr>
        <w:rPr>
          <w:b/>
          <w:i/>
        </w:rPr>
      </w:pPr>
      <w:r w:rsidRPr="002040A8">
        <w:rPr>
          <w:b/>
          <w:i/>
        </w:rPr>
        <w:t>Demand Reduction:</w:t>
      </w:r>
    </w:p>
    <w:p w14:paraId="036C5EE7" w14:textId="53833F01" w:rsidR="00DC78BA" w:rsidRPr="002040A8" w:rsidRDefault="00BE7E1F" w:rsidP="002040A8">
      <w:pPr>
        <w:jc w:val="center"/>
        <w:rPr>
          <w:i/>
          <w:sz w:val="20"/>
        </w:rPr>
      </w:pPr>
      <w:r w:rsidRPr="002040A8">
        <w:rPr>
          <w:position w:val="-30"/>
        </w:rPr>
        <w:object w:dxaOrig="8860" w:dyaOrig="680" w14:anchorId="4CAFF437">
          <v:shape id="_x0000_i1028" type="#_x0000_t75" style="width:446.25pt;height:36pt" o:ole="">
            <v:imagedata r:id="rId30" o:title=""/>
          </v:shape>
          <o:OLEObject Type="Embed" ProgID="Equation.3" ShapeID="_x0000_i1028" DrawAspect="Content" ObjectID="_1584986889" r:id="rId31"/>
        </w:object>
      </w:r>
      <w:r w:rsidR="00DC78BA" w:rsidRPr="002040A8">
        <w:rPr>
          <w:rFonts w:ascii="Arial" w:hAnsi="Arial"/>
          <w:b/>
          <w:sz w:val="20"/>
        </w:rPr>
        <w:t>Example</w:t>
      </w:r>
      <w:r w:rsidR="00DC78BA" w:rsidRPr="002040A8">
        <w:rPr>
          <w:rFonts w:ascii="Arial" w:hAnsi="Arial"/>
          <w:sz w:val="20"/>
        </w:rPr>
        <w:t>:</w:t>
      </w:r>
    </w:p>
    <w:p w14:paraId="6F817D3C" w14:textId="7DC8B577" w:rsidR="00DC78BA" w:rsidRPr="002040A8" w:rsidRDefault="001E4B42" w:rsidP="00DC78BA">
      <w:pPr>
        <w:rPr>
          <w:rFonts w:ascii="Arial" w:hAnsi="Arial"/>
          <w:sz w:val="20"/>
        </w:rPr>
      </w:pPr>
      <w:r w:rsidRPr="002040A8">
        <w:rPr>
          <w:rFonts w:ascii="Arial" w:hAnsi="Arial"/>
          <w:sz w:val="20"/>
        </w:rPr>
        <w:t>The following example calculation demonstrates the peak demand reduction, kW, for the Assembly building type, for the</w:t>
      </w:r>
      <w:r w:rsidR="00DC78BA" w:rsidRPr="002040A8">
        <w:rPr>
          <w:rFonts w:ascii="Arial" w:hAnsi="Arial"/>
          <w:sz w:val="20"/>
        </w:rPr>
        <w:t xml:space="preserve"> “</w:t>
      </w:r>
      <w:r w:rsidR="002C3514" w:rsidRPr="002C3514">
        <w:rPr>
          <w:rFonts w:ascii="Arial" w:hAnsi="Arial"/>
          <w:sz w:val="20"/>
        </w:rPr>
        <w:t>LED High/Low Bay:  110 LPW to &lt;130 LPW, 0 to &lt;48 W</w:t>
      </w:r>
      <w:r w:rsidR="002C3514" w:rsidRPr="002040A8">
        <w:rPr>
          <w:rFonts w:ascii="Arial" w:hAnsi="Arial"/>
          <w:sz w:val="20"/>
        </w:rPr>
        <w:t xml:space="preserve">” </w:t>
      </w:r>
      <w:r w:rsidR="00DC78BA" w:rsidRPr="002040A8">
        <w:rPr>
          <w:rFonts w:ascii="Arial" w:hAnsi="Arial"/>
          <w:sz w:val="20"/>
        </w:rPr>
        <w:t>measure:</w:t>
      </w:r>
    </w:p>
    <w:p w14:paraId="55AE6546" w14:textId="77777777" w:rsidR="00DC78BA" w:rsidRPr="002040A8" w:rsidRDefault="00DC78BA" w:rsidP="00DC78BA">
      <w:pPr>
        <w:rPr>
          <w:rFonts w:ascii="Arial" w:hAnsi="Arial"/>
          <w:sz w:val="20"/>
        </w:rPr>
      </w:pPr>
    </w:p>
    <w:p w14:paraId="395EA2FB" w14:textId="5D144E11" w:rsidR="00BE7E1F" w:rsidRPr="002040A8" w:rsidRDefault="002C3514" w:rsidP="002040A8">
      <w:pPr>
        <w:jc w:val="center"/>
        <w:rPr>
          <w:rFonts w:ascii="Arial" w:hAnsi="Arial"/>
          <w:sz w:val="20"/>
        </w:rPr>
      </w:pPr>
      <w:r w:rsidRPr="002040A8">
        <w:rPr>
          <w:position w:val="-30"/>
        </w:rPr>
        <w:object w:dxaOrig="6180" w:dyaOrig="680" w14:anchorId="7E9F3C44">
          <v:shape id="_x0000_i1029" type="#_x0000_t75" style="width:307.25pt;height:36pt" o:ole="">
            <v:imagedata r:id="rId32" o:title=""/>
          </v:shape>
          <o:OLEObject Type="Embed" ProgID="Equation.3" ShapeID="_x0000_i1029" DrawAspect="Content" ObjectID="_1584986890" r:id="rId33"/>
        </w:object>
      </w:r>
    </w:p>
    <w:p w14:paraId="1E701FA6" w14:textId="325DA577" w:rsidR="00DC78BA" w:rsidRPr="002040A8" w:rsidRDefault="00DC78BA" w:rsidP="00DC78BA">
      <w:pPr>
        <w:ind w:left="720"/>
        <w:rPr>
          <w:rFonts w:ascii="Arial" w:hAnsi="Arial"/>
          <w:sz w:val="20"/>
        </w:rPr>
      </w:pPr>
    </w:p>
    <w:p w14:paraId="2C54CFAD" w14:textId="58794FBD" w:rsidR="00DC78BA" w:rsidRPr="002040A8" w:rsidRDefault="00DC78BA" w:rsidP="00D62A2D">
      <w:r w:rsidRPr="002040A8">
        <w:t>For the savings of all other measures, see the calculation spreadsheet that accompanies this report.</w:t>
      </w:r>
    </w:p>
    <w:p w14:paraId="7CD852BC" w14:textId="77777777" w:rsidR="007878B9" w:rsidRPr="002040A8" w:rsidRDefault="004301AB" w:rsidP="00BF0332">
      <w:pPr>
        <w:pStyle w:val="Heading2"/>
      </w:pPr>
      <w:bookmarkStart w:id="165" w:name="_Toc511038048"/>
      <w:bookmarkStart w:id="166" w:name="_Toc511244900"/>
      <w:r w:rsidRPr="002040A8">
        <w:t>2.3</w:t>
      </w:r>
      <w:r w:rsidR="00276ED1" w:rsidRPr="002040A8">
        <w:t xml:space="preserve"> </w:t>
      </w:r>
      <w:r w:rsidR="007878B9" w:rsidRPr="002040A8">
        <w:t>Gas Energy Savings Estimation Methodologies</w:t>
      </w:r>
      <w:bookmarkEnd w:id="165"/>
      <w:bookmarkEnd w:id="166"/>
    </w:p>
    <w:p w14:paraId="11EAFE25" w14:textId="186B2523" w:rsidR="004203DD" w:rsidRPr="002040A8" w:rsidRDefault="00840D16" w:rsidP="005F3DA0">
      <w:pPr>
        <w:rPr>
          <w:rFonts w:ascii="Arial" w:hAnsi="Arial"/>
          <w:sz w:val="20"/>
        </w:rPr>
      </w:pPr>
      <w:r w:rsidRPr="002040A8">
        <w:rPr>
          <w:rFonts w:ascii="Arial" w:hAnsi="Arial"/>
          <w:sz w:val="20"/>
        </w:rPr>
        <w:t xml:space="preserve">Gas estimates are entirely based on the estimated increased gas use through calculated interactive effects. This measure includes HVAC interactive effects </w:t>
      </w:r>
      <w:r w:rsidR="00B30D5C" w:rsidRPr="002040A8">
        <w:rPr>
          <w:rFonts w:ascii="Arial" w:hAnsi="Arial"/>
          <w:sz w:val="20"/>
        </w:rPr>
        <w:t>impacts</w:t>
      </w:r>
      <w:r w:rsidRPr="002040A8">
        <w:rPr>
          <w:rFonts w:ascii="Arial" w:hAnsi="Arial"/>
          <w:sz w:val="20"/>
        </w:rPr>
        <w:t xml:space="preserve">. </w:t>
      </w:r>
    </w:p>
    <w:p w14:paraId="20D990AE" w14:textId="77777777" w:rsidR="001E4B42" w:rsidRPr="002040A8" w:rsidRDefault="001E4B42" w:rsidP="005F3DA0">
      <w:pPr>
        <w:rPr>
          <w:rFonts w:ascii="Arial" w:hAnsi="Arial"/>
          <w:i/>
          <w:sz w:val="20"/>
        </w:rPr>
      </w:pPr>
    </w:p>
    <w:p w14:paraId="63E041C6" w14:textId="77777777" w:rsidR="001E4B42" w:rsidRPr="002040A8" w:rsidRDefault="001E4B42" w:rsidP="001E4B42">
      <w:pPr>
        <w:rPr>
          <w:rFonts w:ascii="Arial" w:hAnsi="Arial"/>
          <w:sz w:val="20"/>
        </w:rPr>
      </w:pPr>
      <w:r w:rsidRPr="002040A8">
        <w:rPr>
          <w:rFonts w:ascii="Arial" w:hAnsi="Arial"/>
          <w:b/>
          <w:sz w:val="20"/>
        </w:rPr>
        <w:t>∆Watts/fixture:</w:t>
      </w:r>
      <w:r w:rsidRPr="002040A8" w:rsidDel="00CF3FF0">
        <w:rPr>
          <w:rFonts w:ascii="Arial" w:hAnsi="Arial"/>
          <w:b/>
          <w:sz w:val="20"/>
        </w:rPr>
        <w:t xml:space="preserve"> </w:t>
      </w:r>
      <w:r w:rsidRPr="002040A8">
        <w:rPr>
          <w:rFonts w:ascii="Arial" w:hAnsi="Arial"/>
          <w:sz w:val="20"/>
        </w:rPr>
        <w:t>The demand difference (watts per fixture) is simply the difference between the electric demand of the base case fixture and the electric demand of the measure case fixture.</w:t>
      </w:r>
    </w:p>
    <w:p w14:paraId="2D482F5C" w14:textId="77777777" w:rsidR="001E4B42" w:rsidRPr="002040A8" w:rsidRDefault="001E4B42" w:rsidP="001E4B42">
      <w:pPr>
        <w:rPr>
          <w:rFonts w:ascii="Arial" w:hAnsi="Arial"/>
          <w:sz w:val="20"/>
        </w:rPr>
      </w:pPr>
    </w:p>
    <w:p w14:paraId="454D9B83" w14:textId="77777777" w:rsidR="001E4B42" w:rsidRPr="002040A8" w:rsidRDefault="001E4B42" w:rsidP="001E4B42">
      <w:pPr>
        <w:ind w:left="720"/>
        <w:rPr>
          <w:rFonts w:ascii="Arial" w:hAnsi="Arial"/>
          <w:sz w:val="20"/>
        </w:rPr>
      </w:pPr>
      <w:r w:rsidRPr="002040A8">
        <w:rPr>
          <w:rFonts w:ascii="Arial" w:hAnsi="Arial"/>
          <w:sz w:val="20"/>
        </w:rPr>
        <w:t>∆Watts/fixture = Base Case Watts/fixture - Measure Case Watts/fixture</w:t>
      </w:r>
    </w:p>
    <w:p w14:paraId="4D53C82E" w14:textId="77777777" w:rsidR="001E4B42" w:rsidRPr="002040A8" w:rsidRDefault="001E4B42" w:rsidP="001E4B42"/>
    <w:p w14:paraId="22337384" w14:textId="13F12D8B" w:rsidR="001E4B42" w:rsidRPr="002040A8" w:rsidRDefault="001E4B42" w:rsidP="001E4B42">
      <w:pPr>
        <w:rPr>
          <w:b/>
          <w:i/>
        </w:rPr>
      </w:pPr>
      <w:r w:rsidRPr="002040A8">
        <w:rPr>
          <w:b/>
          <w:i/>
        </w:rPr>
        <w:t>Annual Gas Savings:</w:t>
      </w:r>
    </w:p>
    <w:p w14:paraId="2AE34A86" w14:textId="77777777" w:rsidR="001E4B42" w:rsidRPr="002040A8" w:rsidRDefault="001E4B42" w:rsidP="001E4B42">
      <w:pPr>
        <w:ind w:left="720"/>
        <w:rPr>
          <w:i/>
          <w:sz w:val="20"/>
        </w:rPr>
      </w:pPr>
    </w:p>
    <w:p w14:paraId="6CAEB9AA" w14:textId="77777777" w:rsidR="001E4B42" w:rsidRPr="002040A8" w:rsidRDefault="003D5B4D" w:rsidP="002040A8">
      <w:pPr>
        <w:rPr>
          <w:i/>
          <w:sz w:val="20"/>
        </w:rPr>
      </w:pPr>
      <w:r w:rsidRPr="002040A8">
        <w:rPr>
          <w:position w:val="-30"/>
        </w:rPr>
        <w:object w:dxaOrig="9300" w:dyaOrig="720" w14:anchorId="44E0776E">
          <v:shape id="_x0000_i1030" type="#_x0000_t75" style="width:468pt;height:36pt" o:ole="">
            <v:imagedata r:id="rId34" o:title=""/>
          </v:shape>
          <o:OLEObject Type="Embed" ProgID="Equation.3" ShapeID="_x0000_i1030" DrawAspect="Content" ObjectID="_1584986891" r:id="rId35"/>
        </w:object>
      </w:r>
    </w:p>
    <w:p w14:paraId="06159770" w14:textId="77777777" w:rsidR="001E4B42" w:rsidRPr="002040A8" w:rsidRDefault="001E4B42" w:rsidP="001E4B42">
      <w:pPr>
        <w:rPr>
          <w:rFonts w:ascii="Arial" w:hAnsi="Arial"/>
          <w:b/>
          <w:sz w:val="20"/>
        </w:rPr>
      </w:pPr>
    </w:p>
    <w:p w14:paraId="055F4DBA" w14:textId="77777777" w:rsidR="001E4B42" w:rsidRPr="002040A8" w:rsidRDefault="001E4B42" w:rsidP="001E4B42">
      <w:r w:rsidRPr="002040A8">
        <w:rPr>
          <w:rFonts w:ascii="Arial" w:hAnsi="Arial"/>
          <w:b/>
          <w:sz w:val="20"/>
        </w:rPr>
        <w:t>Example</w:t>
      </w:r>
      <w:r w:rsidRPr="002040A8">
        <w:rPr>
          <w:rFonts w:ascii="Arial" w:hAnsi="Arial"/>
          <w:sz w:val="20"/>
        </w:rPr>
        <w:t>:</w:t>
      </w:r>
    </w:p>
    <w:p w14:paraId="3435883A" w14:textId="302CB96B" w:rsidR="001E4B42" w:rsidRPr="002040A8" w:rsidRDefault="001E4B42" w:rsidP="001E4B42">
      <w:pPr>
        <w:rPr>
          <w:rFonts w:ascii="Arial" w:hAnsi="Arial"/>
          <w:sz w:val="20"/>
        </w:rPr>
      </w:pPr>
      <w:r w:rsidRPr="002040A8">
        <w:rPr>
          <w:rFonts w:ascii="Arial" w:hAnsi="Arial"/>
          <w:sz w:val="20"/>
        </w:rPr>
        <w:t xml:space="preserve">The following example calculation demonstrates the annual </w:t>
      </w:r>
      <w:r w:rsidR="007F1836" w:rsidRPr="002040A8">
        <w:rPr>
          <w:rFonts w:ascii="Arial" w:hAnsi="Arial"/>
          <w:sz w:val="20"/>
        </w:rPr>
        <w:t>gas</w:t>
      </w:r>
      <w:r w:rsidRPr="002040A8">
        <w:rPr>
          <w:rFonts w:ascii="Arial" w:hAnsi="Arial"/>
          <w:sz w:val="20"/>
        </w:rPr>
        <w:t xml:space="preserve"> savings</w:t>
      </w:r>
      <w:r w:rsidR="007F1836" w:rsidRPr="002040A8">
        <w:rPr>
          <w:rFonts w:ascii="Arial" w:hAnsi="Arial"/>
          <w:sz w:val="20"/>
        </w:rPr>
        <w:t xml:space="preserve"> in therms,</w:t>
      </w:r>
      <w:r w:rsidRPr="002040A8">
        <w:rPr>
          <w:rFonts w:ascii="Arial" w:hAnsi="Arial"/>
          <w:sz w:val="20"/>
        </w:rPr>
        <w:t xml:space="preserve"> for the Assembly building type for the “</w:t>
      </w:r>
      <w:r w:rsidR="002C3514" w:rsidRPr="002C3514">
        <w:rPr>
          <w:rFonts w:ascii="Arial" w:hAnsi="Arial"/>
          <w:sz w:val="20"/>
        </w:rPr>
        <w:t>LED High/Low Bay:  110 LPW to &lt;130 LPW, 0 to &lt;48 W</w:t>
      </w:r>
      <w:r w:rsidR="002C3514" w:rsidRPr="002040A8">
        <w:rPr>
          <w:rFonts w:ascii="Arial" w:hAnsi="Arial"/>
          <w:sz w:val="20"/>
        </w:rPr>
        <w:t xml:space="preserve">” </w:t>
      </w:r>
      <w:r w:rsidRPr="002040A8">
        <w:rPr>
          <w:rFonts w:ascii="Arial" w:hAnsi="Arial"/>
          <w:sz w:val="20"/>
        </w:rPr>
        <w:t>measure:</w:t>
      </w:r>
    </w:p>
    <w:p w14:paraId="04B7E0A1" w14:textId="77777777" w:rsidR="001E4B42" w:rsidRPr="002040A8" w:rsidRDefault="001E4B42" w:rsidP="001E4B42">
      <w:pPr>
        <w:rPr>
          <w:rFonts w:ascii="Arial" w:hAnsi="Arial"/>
          <w:sz w:val="20"/>
        </w:rPr>
      </w:pPr>
    </w:p>
    <w:p w14:paraId="1D3145E0" w14:textId="18105CB7" w:rsidR="001E4B42" w:rsidRPr="002040A8" w:rsidRDefault="00746ED0" w:rsidP="002040A8">
      <w:pPr>
        <w:rPr>
          <w:rFonts w:ascii="Arial" w:hAnsi="Arial"/>
          <w:sz w:val="20"/>
        </w:rPr>
      </w:pPr>
      <w:r w:rsidRPr="002040A8">
        <w:rPr>
          <w:position w:val="-30"/>
        </w:rPr>
        <w:object w:dxaOrig="9120" w:dyaOrig="720" w14:anchorId="72528C60">
          <v:shape id="_x0000_i1031" type="#_x0000_t75" style="width:456.3pt;height:36pt" o:ole="">
            <v:imagedata r:id="rId36" o:title=""/>
          </v:shape>
          <o:OLEObject Type="Embed" ProgID="Equation.3" ShapeID="_x0000_i1031" DrawAspect="Content" ObjectID="_1584986892" r:id="rId37"/>
        </w:object>
      </w:r>
    </w:p>
    <w:p w14:paraId="06525D7F" w14:textId="77777777" w:rsidR="001E4B42" w:rsidRPr="002040A8" w:rsidRDefault="001E4B42" w:rsidP="00D62A2D">
      <w:r w:rsidRPr="002040A8">
        <w:lastRenderedPageBreak/>
        <w:t>For the savings of all other measures, see the calculation spreadsheet that accompanies this report.</w:t>
      </w:r>
    </w:p>
    <w:p w14:paraId="28D45F65" w14:textId="77777777" w:rsidR="00B7164C" w:rsidRPr="00760D6A" w:rsidRDefault="00C069A2" w:rsidP="00D20486">
      <w:pPr>
        <w:pStyle w:val="Heading1"/>
        <w:rPr>
          <w:sz w:val="28"/>
        </w:rPr>
      </w:pPr>
      <w:bookmarkStart w:id="167" w:name="_Toc511038049"/>
      <w:bookmarkStart w:id="168" w:name="_Toc511244901"/>
      <w:r w:rsidRPr="00760D6A">
        <w:rPr>
          <w:sz w:val="28"/>
        </w:rPr>
        <w:t>Section 3 Load Shapes</w:t>
      </w:r>
      <w:bookmarkEnd w:id="167"/>
      <w:bookmarkEnd w:id="168"/>
      <w:r w:rsidR="00844B27" w:rsidRPr="00760D6A">
        <w:rPr>
          <w:sz w:val="28"/>
        </w:rPr>
        <w:t xml:space="preserve"> </w:t>
      </w:r>
    </w:p>
    <w:p w14:paraId="765C75F0" w14:textId="77777777" w:rsidR="00A06A54" w:rsidRPr="00760D6A" w:rsidRDefault="00A06A54" w:rsidP="00A06A54">
      <w:pPr>
        <w:autoSpaceDE w:val="0"/>
        <w:autoSpaceDN w:val="0"/>
        <w:adjustRightInd w:val="0"/>
        <w:rPr>
          <w:rFonts w:ascii="Arial" w:hAnsi="Arial"/>
          <w:sz w:val="20"/>
        </w:rPr>
      </w:pPr>
      <w:r w:rsidRPr="00760D6A">
        <w:rPr>
          <w:rFonts w:ascii="Arial" w:hAnsi="Arial"/>
          <w:sz w:val="20"/>
        </w:rPr>
        <w:t>Load Shapes are an important part of the life-cycle cost analysis of any energy efficiency program portfolio.</w:t>
      </w:r>
      <w:r w:rsidR="00A97045" w:rsidRPr="00760D6A">
        <w:rPr>
          <w:rFonts w:ascii="Arial" w:hAnsi="Arial"/>
          <w:sz w:val="20"/>
        </w:rPr>
        <w:t xml:space="preserve"> </w:t>
      </w:r>
      <w:r w:rsidRPr="00760D6A">
        <w:rPr>
          <w:rFonts w:ascii="Arial" w:hAnsi="Arial"/>
          <w:sz w:val="20"/>
        </w:rPr>
        <w:t>The net benefits associated with a measure are based on the amount of energy saved and the avoided cost per unit of energy saved.</w:t>
      </w:r>
      <w:r w:rsidR="00A97045" w:rsidRPr="00760D6A">
        <w:rPr>
          <w:rFonts w:ascii="Arial" w:hAnsi="Arial"/>
          <w:sz w:val="20"/>
        </w:rPr>
        <w:t xml:space="preserve"> </w:t>
      </w:r>
      <w:r w:rsidRPr="00760D6A">
        <w:rPr>
          <w:rFonts w:ascii="Arial" w:hAnsi="Arial"/>
          <w:sz w:val="20"/>
        </w:rPr>
        <w:t>For electricity, the avoided cost varies hourly over an entire year.</w:t>
      </w:r>
      <w:r w:rsidR="00A97045" w:rsidRPr="00760D6A">
        <w:rPr>
          <w:rFonts w:ascii="Arial" w:hAnsi="Arial"/>
          <w:sz w:val="20"/>
        </w:rPr>
        <w:t xml:space="preserve"> </w:t>
      </w:r>
      <w:r w:rsidRPr="00760D6A">
        <w:rPr>
          <w:rFonts w:ascii="Arial" w:hAnsi="Arial"/>
          <w:sz w:val="20"/>
        </w:rPr>
        <w:t>Thus, the net benefits calculation for a measure requires both the total annual energy savings (kWh) of the measure and the distribution of that savings over the year.</w:t>
      </w:r>
      <w:r w:rsidR="00A97045" w:rsidRPr="00760D6A">
        <w:rPr>
          <w:rFonts w:ascii="Arial" w:hAnsi="Arial"/>
          <w:sz w:val="20"/>
        </w:rPr>
        <w:t xml:space="preserve"> </w:t>
      </w:r>
      <w:r w:rsidRPr="00760D6A">
        <w:rPr>
          <w:rFonts w:ascii="Arial" w:hAnsi="Arial"/>
          <w:sz w:val="20"/>
        </w:rPr>
        <w:t>The distribution of savings over the year is represented by the measure’s load shape.</w:t>
      </w:r>
      <w:r w:rsidR="00A97045" w:rsidRPr="00760D6A">
        <w:rPr>
          <w:rFonts w:ascii="Arial" w:hAnsi="Arial"/>
          <w:sz w:val="20"/>
        </w:rPr>
        <w:t xml:space="preserve"> </w:t>
      </w:r>
      <w:r w:rsidRPr="00760D6A">
        <w:rPr>
          <w:rFonts w:ascii="Arial" w:hAnsi="Arial"/>
          <w:sz w:val="20"/>
        </w:rPr>
        <w:t>The measure’s load shape indicates what fraction of annual energy savings occurs in each time period of the year.</w:t>
      </w:r>
      <w:r w:rsidR="00A97045" w:rsidRPr="00760D6A">
        <w:rPr>
          <w:rFonts w:ascii="Arial" w:hAnsi="Arial"/>
          <w:sz w:val="20"/>
        </w:rPr>
        <w:t xml:space="preserve"> </w:t>
      </w:r>
      <w:r w:rsidRPr="00760D6A">
        <w:rPr>
          <w:rFonts w:ascii="Arial" w:hAnsi="Arial"/>
          <w:sz w:val="20"/>
        </w:rPr>
        <w:t>An hourly load shape indicates what fraction of annual savings occurs for each hour of the year.</w:t>
      </w:r>
      <w:r w:rsidR="00A97045" w:rsidRPr="00760D6A">
        <w:rPr>
          <w:rFonts w:ascii="Arial" w:hAnsi="Arial"/>
          <w:sz w:val="20"/>
        </w:rPr>
        <w:t xml:space="preserve"> </w:t>
      </w:r>
      <w:r w:rsidRPr="00760D6A">
        <w:rPr>
          <w:rFonts w:ascii="Arial" w:hAnsi="Arial"/>
          <w:sz w:val="20"/>
        </w:rPr>
        <w:t>A Time-of-Use (TOU) load shape indicates what fraction occurs within five or six broad time-of-use periods, typically defined by a specific utility rate tariff.</w:t>
      </w:r>
      <w:r w:rsidR="00A97045" w:rsidRPr="00760D6A">
        <w:rPr>
          <w:rFonts w:ascii="Arial" w:hAnsi="Arial"/>
          <w:sz w:val="20"/>
        </w:rPr>
        <w:t xml:space="preserve"> </w:t>
      </w:r>
      <w:r w:rsidRPr="00760D6A">
        <w:rPr>
          <w:rFonts w:ascii="Arial" w:hAnsi="Arial"/>
          <w:sz w:val="20"/>
        </w:rPr>
        <w:t>Formally, a load shape is a set of fractions summing to unity, one fraction for each hour or for each TOU period.</w:t>
      </w:r>
      <w:r w:rsidR="00A97045" w:rsidRPr="00760D6A">
        <w:rPr>
          <w:rFonts w:ascii="Arial" w:hAnsi="Arial"/>
          <w:sz w:val="20"/>
        </w:rPr>
        <w:t xml:space="preserve"> </w:t>
      </w:r>
      <w:r w:rsidRPr="00760D6A">
        <w:rPr>
          <w:rFonts w:ascii="Arial" w:hAnsi="Arial"/>
          <w:sz w:val="20"/>
        </w:rPr>
        <w:t xml:space="preserve">Multiplying the measure load shape with the hourly avoided cost stream determines the average avoided cost per kWh for use in the life cycle cost analysis that determines a measure’s Total Resource Cost (TRC) benefit. </w:t>
      </w:r>
    </w:p>
    <w:p w14:paraId="542566A2" w14:textId="77777777" w:rsidR="00B7164C" w:rsidRPr="00760D6A" w:rsidRDefault="00BF0332" w:rsidP="00B7164C">
      <w:pPr>
        <w:pStyle w:val="Heading2"/>
        <w:keepNext w:val="0"/>
      </w:pPr>
      <w:bookmarkStart w:id="169" w:name="_Toc173742996"/>
      <w:bookmarkStart w:id="170" w:name="_Toc511038050"/>
      <w:bookmarkStart w:id="171" w:name="_Toc511244902"/>
      <w:r w:rsidRPr="00760D6A">
        <w:t>3.1 Base Case</w:t>
      </w:r>
      <w:r w:rsidR="00B7164C" w:rsidRPr="00760D6A">
        <w:t xml:space="preserve"> Load Shapes</w:t>
      </w:r>
      <w:bookmarkEnd w:id="169"/>
      <w:bookmarkEnd w:id="170"/>
      <w:bookmarkEnd w:id="171"/>
    </w:p>
    <w:p w14:paraId="39DF24CD" w14:textId="77777777" w:rsidR="008840FA" w:rsidRPr="00760D6A" w:rsidRDefault="00B66898" w:rsidP="008840FA">
      <w:pPr>
        <w:rPr>
          <w:rFonts w:ascii="Arial" w:hAnsi="Arial"/>
          <w:sz w:val="20"/>
        </w:rPr>
      </w:pPr>
      <w:bookmarkStart w:id="172" w:name="_Toc173742997"/>
      <w:r w:rsidRPr="00760D6A">
        <w:rPr>
          <w:rFonts w:ascii="Arial" w:hAnsi="Arial"/>
          <w:sz w:val="20"/>
        </w:rPr>
        <w:t>T</w:t>
      </w:r>
      <w:r w:rsidR="008840FA" w:rsidRPr="00760D6A">
        <w:rPr>
          <w:rFonts w:ascii="Arial" w:hAnsi="Arial"/>
          <w:sz w:val="20"/>
        </w:rPr>
        <w:t xml:space="preserve">he closest load shape chosen for this measure is the </w:t>
      </w:r>
      <w:r w:rsidR="00501673" w:rsidRPr="00760D6A">
        <w:rPr>
          <w:rFonts w:ascii="Arial" w:hAnsi="Arial"/>
          <w:sz w:val="20"/>
        </w:rPr>
        <w:t>“</w:t>
      </w:r>
      <w:r w:rsidR="00E0684E" w:rsidRPr="00760D6A">
        <w:rPr>
          <w:rFonts w:ascii="Arial" w:hAnsi="Arial"/>
          <w:sz w:val="20"/>
        </w:rPr>
        <w:t>PGE:</w:t>
      </w:r>
      <w:r w:rsidR="008840FA" w:rsidRPr="00760D6A">
        <w:rPr>
          <w:rFonts w:ascii="Arial" w:hAnsi="Arial"/>
          <w:sz w:val="20"/>
        </w:rPr>
        <w:t>DEER:</w:t>
      </w:r>
      <w:r w:rsidR="00E0684E" w:rsidRPr="00760D6A">
        <w:rPr>
          <w:rFonts w:ascii="Arial" w:hAnsi="Arial"/>
          <w:sz w:val="20"/>
        </w:rPr>
        <w:t>Com:</w:t>
      </w:r>
      <w:r w:rsidR="008840FA" w:rsidRPr="00760D6A">
        <w:rPr>
          <w:rFonts w:ascii="Arial" w:hAnsi="Arial"/>
          <w:sz w:val="20"/>
        </w:rPr>
        <w:t>Indoor_</w:t>
      </w:r>
      <w:r w:rsidR="0079606B" w:rsidRPr="00760D6A">
        <w:rPr>
          <w:rFonts w:ascii="Arial" w:hAnsi="Arial"/>
          <w:sz w:val="20"/>
        </w:rPr>
        <w:t>Non-</w:t>
      </w:r>
      <w:r w:rsidR="008840FA" w:rsidRPr="00760D6A">
        <w:rPr>
          <w:rFonts w:ascii="Arial" w:hAnsi="Arial"/>
          <w:sz w:val="20"/>
        </w:rPr>
        <w:t>CFL_Ltg</w:t>
      </w:r>
      <w:r w:rsidR="00501673" w:rsidRPr="00760D6A">
        <w:rPr>
          <w:rFonts w:ascii="Arial" w:hAnsi="Arial"/>
          <w:sz w:val="20"/>
        </w:rPr>
        <w:t>”</w:t>
      </w:r>
      <w:r w:rsidR="008840FA" w:rsidRPr="00760D6A">
        <w:rPr>
          <w:rFonts w:ascii="Arial" w:hAnsi="Arial"/>
          <w:sz w:val="20"/>
        </w:rPr>
        <w:t xml:space="preserve"> load shape.</w:t>
      </w:r>
      <w:r w:rsidR="00476B67" w:rsidRPr="00760D6A">
        <w:rPr>
          <w:rFonts w:ascii="Arial" w:hAnsi="Arial"/>
          <w:sz w:val="20"/>
        </w:rPr>
        <w:t xml:space="preserve"> </w:t>
      </w:r>
    </w:p>
    <w:p w14:paraId="40939F0B" w14:textId="77777777" w:rsidR="00B7164C" w:rsidRPr="00760D6A" w:rsidRDefault="00B7164C" w:rsidP="00D20486">
      <w:pPr>
        <w:pStyle w:val="Heading2"/>
        <w:keepNext w:val="0"/>
      </w:pPr>
      <w:bookmarkStart w:id="173" w:name="_Toc511038051"/>
      <w:bookmarkStart w:id="174" w:name="_Toc511244903"/>
      <w:r w:rsidRPr="00760D6A">
        <w:t>3.2 Measure Load Shapes</w:t>
      </w:r>
      <w:bookmarkEnd w:id="172"/>
      <w:bookmarkEnd w:id="173"/>
      <w:bookmarkEnd w:id="174"/>
    </w:p>
    <w:p w14:paraId="7A494947" w14:textId="77777777" w:rsidR="00B66898" w:rsidRPr="00760D6A" w:rsidRDefault="009B6201" w:rsidP="003C6DFA">
      <w:pPr>
        <w:rPr>
          <w:rFonts w:ascii="Arial" w:hAnsi="Arial"/>
          <w:sz w:val="20"/>
        </w:rPr>
      </w:pPr>
      <w:r w:rsidRPr="00760D6A">
        <w:rPr>
          <w:rFonts w:ascii="Arial" w:hAnsi="Arial"/>
          <w:sz w:val="20"/>
        </w:rPr>
        <w:t xml:space="preserve">The </w:t>
      </w:r>
      <w:r w:rsidR="00F47D9D" w:rsidRPr="00760D6A">
        <w:rPr>
          <w:rFonts w:ascii="Arial" w:hAnsi="Arial"/>
          <w:sz w:val="20"/>
        </w:rPr>
        <w:t>measure load shape for this measure is</w:t>
      </w:r>
      <w:r w:rsidR="00AB2D9E" w:rsidRPr="00760D6A">
        <w:rPr>
          <w:rFonts w:ascii="Arial" w:hAnsi="Arial"/>
          <w:sz w:val="20"/>
        </w:rPr>
        <w:t xml:space="preserve"> determined based o</w:t>
      </w:r>
      <w:r w:rsidR="00F47D9D" w:rsidRPr="00760D6A">
        <w:rPr>
          <w:rFonts w:ascii="Arial" w:hAnsi="Arial"/>
          <w:sz w:val="20"/>
        </w:rPr>
        <w:t>n</w:t>
      </w:r>
      <w:r w:rsidR="00AB2D9E" w:rsidRPr="00760D6A">
        <w:rPr>
          <w:rFonts w:ascii="Arial" w:hAnsi="Arial"/>
          <w:sz w:val="20"/>
        </w:rPr>
        <w:t xml:space="preserve"> the applicable </w:t>
      </w:r>
      <w:r w:rsidR="0079606B" w:rsidRPr="00760D6A">
        <w:rPr>
          <w:rFonts w:ascii="Arial" w:hAnsi="Arial"/>
          <w:sz w:val="20"/>
        </w:rPr>
        <w:t xml:space="preserve">non-residential </w:t>
      </w:r>
      <w:r w:rsidR="00AB2D9E" w:rsidRPr="00760D6A">
        <w:rPr>
          <w:rFonts w:ascii="Arial" w:hAnsi="Arial"/>
          <w:sz w:val="20"/>
        </w:rPr>
        <w:t>market sector</w:t>
      </w:r>
      <w:r w:rsidR="00F47D9D" w:rsidRPr="00760D6A">
        <w:rPr>
          <w:rFonts w:ascii="Arial" w:hAnsi="Arial"/>
          <w:sz w:val="20"/>
        </w:rPr>
        <w:t xml:space="preserve"> and the </w:t>
      </w:r>
      <w:r w:rsidR="00A209A2" w:rsidRPr="00760D6A">
        <w:rPr>
          <w:rFonts w:ascii="Arial" w:hAnsi="Arial"/>
          <w:sz w:val="20"/>
        </w:rPr>
        <w:t>lighting</w:t>
      </w:r>
      <w:r w:rsidR="00F47D9D" w:rsidRPr="00760D6A">
        <w:rPr>
          <w:rFonts w:ascii="Arial" w:hAnsi="Arial"/>
          <w:sz w:val="20"/>
        </w:rPr>
        <w:t xml:space="preserve"> end-use.</w:t>
      </w:r>
      <w:r w:rsidR="00476B67" w:rsidRPr="00760D6A">
        <w:rPr>
          <w:rFonts w:ascii="Arial" w:hAnsi="Arial"/>
          <w:sz w:val="20"/>
        </w:rPr>
        <w:t xml:space="preserve"> </w:t>
      </w:r>
    </w:p>
    <w:p w14:paraId="688D124A" w14:textId="77777777" w:rsidR="00DF3395" w:rsidRPr="00760D6A" w:rsidRDefault="00B66898" w:rsidP="003C6DFA">
      <w:pPr>
        <w:rPr>
          <w:rFonts w:ascii="Arial" w:hAnsi="Arial"/>
          <w:sz w:val="20"/>
        </w:rPr>
      </w:pPr>
      <w:r w:rsidRPr="00760D6A">
        <w:rPr>
          <w:rFonts w:ascii="Arial" w:hAnsi="Arial"/>
          <w:sz w:val="20"/>
        </w:rPr>
        <w:t xml:space="preserve"> </w:t>
      </w:r>
    </w:p>
    <w:p w14:paraId="07039780" w14:textId="77777777" w:rsidR="00D87EFF" w:rsidRPr="00760D6A" w:rsidRDefault="00B66898" w:rsidP="00D87EFF">
      <w:pPr>
        <w:rPr>
          <w:rFonts w:ascii="Arial" w:hAnsi="Arial"/>
          <w:sz w:val="20"/>
        </w:rPr>
      </w:pPr>
      <w:r w:rsidRPr="00760D6A">
        <w:rPr>
          <w:rFonts w:ascii="Arial" w:hAnsi="Arial"/>
          <w:sz w:val="20"/>
        </w:rPr>
        <w:t>T</w:t>
      </w:r>
      <w:r w:rsidR="00D87EFF" w:rsidRPr="00760D6A">
        <w:rPr>
          <w:rFonts w:ascii="Arial" w:hAnsi="Arial"/>
          <w:sz w:val="20"/>
        </w:rPr>
        <w:t xml:space="preserve">he closest load shape chosen for this measure is the </w:t>
      </w:r>
      <w:r w:rsidR="00E0684E" w:rsidRPr="00760D6A">
        <w:rPr>
          <w:rFonts w:ascii="Arial" w:hAnsi="Arial"/>
          <w:sz w:val="20"/>
        </w:rPr>
        <w:t>PGE:DEER:Com:Indoor_Non-CFL_Ltg</w:t>
      </w:r>
      <w:r w:rsidR="00D87EFF" w:rsidRPr="00760D6A">
        <w:rPr>
          <w:rFonts w:ascii="Arial" w:hAnsi="Arial"/>
          <w:sz w:val="20"/>
        </w:rPr>
        <w:t xml:space="preserve"> load shape.</w:t>
      </w:r>
      <w:r w:rsidR="00476B67" w:rsidRPr="00760D6A">
        <w:rPr>
          <w:rFonts w:ascii="Arial" w:hAnsi="Arial"/>
          <w:sz w:val="20"/>
        </w:rPr>
        <w:t xml:space="preserve"> </w:t>
      </w:r>
      <w:r w:rsidR="00D87EFF" w:rsidRPr="00760D6A">
        <w:rPr>
          <w:rFonts w:ascii="Arial" w:hAnsi="Arial"/>
          <w:sz w:val="20"/>
        </w:rPr>
        <w:t>See the KEMA report [31] for a more thorough discussion regarding the load shapes for this measure.</w:t>
      </w:r>
    </w:p>
    <w:p w14:paraId="26AD0074" w14:textId="60AB1E12" w:rsidR="004B3C5B" w:rsidRPr="005F797F" w:rsidRDefault="00C069A2" w:rsidP="003914CB">
      <w:pPr>
        <w:pStyle w:val="Heading1"/>
        <w:keepLines/>
      </w:pPr>
      <w:bookmarkStart w:id="175" w:name="_Toc511038052"/>
      <w:bookmarkStart w:id="176" w:name="_Toc511244904"/>
      <w:r w:rsidRPr="005F797F">
        <w:t>Section 4 Base Case &amp; Measure Costs</w:t>
      </w:r>
      <w:bookmarkEnd w:id="175"/>
      <w:bookmarkEnd w:id="176"/>
    </w:p>
    <w:p w14:paraId="78BCCB6B" w14:textId="044044DF" w:rsidR="005F797F" w:rsidRDefault="005F797F" w:rsidP="00E0684E">
      <w:pPr>
        <w:rPr>
          <w:rFonts w:ascii="Arial" w:hAnsi="Arial" w:cs="Arial"/>
          <w:sz w:val="20"/>
          <w:szCs w:val="20"/>
        </w:rPr>
      </w:pPr>
      <w:r>
        <w:rPr>
          <w:rFonts w:ascii="Arial" w:hAnsi="Arial" w:cs="Arial"/>
          <w:sz w:val="20"/>
          <w:szCs w:val="20"/>
        </w:rPr>
        <w:t xml:space="preserve">The following data sources </w:t>
      </w:r>
      <w:r w:rsidR="00130C40">
        <w:rPr>
          <w:rFonts w:ascii="Arial" w:hAnsi="Arial" w:cs="Arial"/>
          <w:sz w:val="20"/>
          <w:szCs w:val="20"/>
        </w:rPr>
        <w:t xml:space="preserve">were </w:t>
      </w:r>
      <w:r w:rsidR="005A45C1">
        <w:rPr>
          <w:rFonts w:ascii="Arial" w:hAnsi="Arial" w:cs="Arial"/>
          <w:sz w:val="20"/>
          <w:szCs w:val="20"/>
        </w:rPr>
        <w:t xml:space="preserve">used </w:t>
      </w:r>
      <w:r>
        <w:rPr>
          <w:rFonts w:ascii="Arial" w:hAnsi="Arial" w:cs="Arial"/>
          <w:sz w:val="20"/>
          <w:szCs w:val="20"/>
        </w:rPr>
        <w:t>to develop the base case and measure costs:</w:t>
      </w:r>
    </w:p>
    <w:p w14:paraId="11B07D7C" w14:textId="77777777" w:rsidR="00BC65D5" w:rsidRDefault="005F797F" w:rsidP="006666F0">
      <w:pPr>
        <w:pStyle w:val="ListParagraph"/>
        <w:numPr>
          <w:ilvl w:val="0"/>
          <w:numId w:val="13"/>
        </w:numPr>
        <w:rPr>
          <w:rFonts w:ascii="Arial" w:hAnsi="Arial" w:cs="Arial"/>
          <w:sz w:val="20"/>
          <w:szCs w:val="20"/>
        </w:rPr>
      </w:pPr>
      <w:r>
        <w:rPr>
          <w:rFonts w:ascii="Arial" w:hAnsi="Arial" w:cs="Arial"/>
          <w:sz w:val="20"/>
          <w:szCs w:val="20"/>
        </w:rPr>
        <w:t>PG&amp;E Program Data</w:t>
      </w:r>
      <w:r w:rsidR="00BC65D5">
        <w:rPr>
          <w:rFonts w:ascii="Arial" w:hAnsi="Arial" w:cs="Arial"/>
          <w:sz w:val="20"/>
          <w:szCs w:val="20"/>
        </w:rPr>
        <w:t xml:space="preserve"> </w:t>
      </w:r>
    </w:p>
    <w:p w14:paraId="2FF6991C" w14:textId="081453FF" w:rsidR="005F797F" w:rsidRDefault="00BC65D5" w:rsidP="006666F0">
      <w:pPr>
        <w:pStyle w:val="ListParagraph"/>
        <w:numPr>
          <w:ilvl w:val="1"/>
          <w:numId w:val="13"/>
        </w:numPr>
        <w:rPr>
          <w:rFonts w:ascii="Arial" w:hAnsi="Arial" w:cs="Arial"/>
          <w:sz w:val="20"/>
          <w:szCs w:val="20"/>
        </w:rPr>
      </w:pPr>
      <w:r>
        <w:rPr>
          <w:rFonts w:ascii="Arial" w:hAnsi="Arial" w:cs="Arial"/>
          <w:sz w:val="20"/>
          <w:szCs w:val="20"/>
        </w:rPr>
        <w:t>Applications received from 1/1/2016 – 3/29/2018</w:t>
      </w:r>
    </w:p>
    <w:p w14:paraId="2916ED6E" w14:textId="7B227EA9" w:rsidR="005F797F" w:rsidRDefault="005F797F" w:rsidP="006666F0">
      <w:pPr>
        <w:pStyle w:val="ListParagraph"/>
        <w:numPr>
          <w:ilvl w:val="0"/>
          <w:numId w:val="13"/>
        </w:numPr>
        <w:rPr>
          <w:rFonts w:ascii="Arial" w:hAnsi="Arial" w:cs="Arial"/>
          <w:sz w:val="20"/>
          <w:szCs w:val="20"/>
        </w:rPr>
      </w:pPr>
      <w:r>
        <w:rPr>
          <w:rFonts w:ascii="Arial" w:hAnsi="Arial" w:cs="Arial"/>
          <w:sz w:val="20"/>
          <w:szCs w:val="20"/>
        </w:rPr>
        <w:t>SCE Program Data</w:t>
      </w:r>
    </w:p>
    <w:p w14:paraId="75620F07" w14:textId="5990FA34" w:rsidR="00BC65D5" w:rsidRDefault="00BC65D5" w:rsidP="006666F0">
      <w:pPr>
        <w:pStyle w:val="ListParagraph"/>
        <w:numPr>
          <w:ilvl w:val="1"/>
          <w:numId w:val="13"/>
        </w:numPr>
        <w:rPr>
          <w:rFonts w:ascii="Arial" w:hAnsi="Arial" w:cs="Arial"/>
          <w:sz w:val="20"/>
          <w:szCs w:val="20"/>
        </w:rPr>
      </w:pPr>
      <w:r>
        <w:rPr>
          <w:rFonts w:ascii="Arial" w:hAnsi="Arial" w:cs="Arial"/>
          <w:sz w:val="20"/>
          <w:szCs w:val="20"/>
        </w:rPr>
        <w:t>Applications received from late 2016 through end of 2017</w:t>
      </w:r>
    </w:p>
    <w:p w14:paraId="2BE98799" w14:textId="0575F0A9" w:rsidR="005F797F" w:rsidRDefault="005F797F" w:rsidP="006666F0">
      <w:pPr>
        <w:pStyle w:val="ListParagraph"/>
        <w:numPr>
          <w:ilvl w:val="0"/>
          <w:numId w:val="13"/>
        </w:numPr>
        <w:rPr>
          <w:rFonts w:ascii="Arial" w:hAnsi="Arial" w:cs="Arial"/>
          <w:sz w:val="20"/>
          <w:szCs w:val="20"/>
        </w:rPr>
      </w:pPr>
      <w:r>
        <w:rPr>
          <w:rFonts w:ascii="Arial" w:hAnsi="Arial" w:cs="Arial"/>
          <w:sz w:val="20"/>
          <w:szCs w:val="20"/>
        </w:rPr>
        <w:t>Navigant Data</w:t>
      </w:r>
    </w:p>
    <w:p w14:paraId="189E4901" w14:textId="6BC3120E" w:rsidR="005A6D7E" w:rsidRDefault="005A6D7E" w:rsidP="006666F0">
      <w:pPr>
        <w:pStyle w:val="ListParagraph"/>
        <w:numPr>
          <w:ilvl w:val="1"/>
          <w:numId w:val="13"/>
        </w:numPr>
        <w:rPr>
          <w:rFonts w:ascii="Arial" w:hAnsi="Arial" w:cs="Arial"/>
          <w:sz w:val="20"/>
          <w:szCs w:val="20"/>
        </w:rPr>
      </w:pPr>
      <w:r>
        <w:rPr>
          <w:rFonts w:ascii="Arial" w:hAnsi="Arial" w:cs="Arial"/>
          <w:sz w:val="20"/>
          <w:szCs w:val="20"/>
        </w:rPr>
        <w:t xml:space="preserve">Raw </w:t>
      </w:r>
      <w:r w:rsidR="005A45C1">
        <w:rPr>
          <w:rFonts w:ascii="Arial" w:hAnsi="Arial" w:cs="Arial"/>
          <w:sz w:val="20"/>
          <w:szCs w:val="20"/>
        </w:rPr>
        <w:t xml:space="preserve">data </w:t>
      </w:r>
      <w:r>
        <w:rPr>
          <w:rFonts w:ascii="Arial" w:hAnsi="Arial" w:cs="Arial"/>
          <w:sz w:val="20"/>
          <w:szCs w:val="20"/>
        </w:rPr>
        <w:t xml:space="preserve">from the </w:t>
      </w:r>
      <w:r w:rsidR="005A45C1">
        <w:rPr>
          <w:rFonts w:ascii="Arial" w:hAnsi="Arial" w:cs="Arial"/>
          <w:sz w:val="20"/>
          <w:szCs w:val="20"/>
        </w:rPr>
        <w:t xml:space="preserve">LED </w:t>
      </w:r>
      <w:r>
        <w:rPr>
          <w:rFonts w:ascii="Arial" w:hAnsi="Arial" w:cs="Arial"/>
          <w:sz w:val="20"/>
          <w:szCs w:val="20"/>
        </w:rPr>
        <w:t>Price Tracker</w:t>
      </w:r>
    </w:p>
    <w:p w14:paraId="7FFF89F3" w14:textId="2E1C73DB" w:rsidR="005A6D7E" w:rsidRDefault="005A6D7E" w:rsidP="006666F0">
      <w:pPr>
        <w:pStyle w:val="ListParagraph"/>
        <w:numPr>
          <w:ilvl w:val="1"/>
          <w:numId w:val="13"/>
        </w:numPr>
        <w:rPr>
          <w:rFonts w:ascii="Arial" w:hAnsi="Arial" w:cs="Arial"/>
          <w:sz w:val="20"/>
          <w:szCs w:val="20"/>
        </w:rPr>
      </w:pPr>
      <w:r>
        <w:rPr>
          <w:rFonts w:ascii="Arial" w:hAnsi="Arial" w:cs="Arial"/>
          <w:sz w:val="20"/>
          <w:szCs w:val="20"/>
        </w:rPr>
        <w:t>Values from the cost model</w:t>
      </w:r>
    </w:p>
    <w:p w14:paraId="336A5E14" w14:textId="4ABAF593" w:rsidR="005F797F" w:rsidRPr="005F797F" w:rsidRDefault="00760D6A" w:rsidP="006666F0">
      <w:pPr>
        <w:pStyle w:val="ListParagraph"/>
        <w:numPr>
          <w:ilvl w:val="0"/>
          <w:numId w:val="13"/>
        </w:numPr>
        <w:rPr>
          <w:rFonts w:ascii="Arial" w:hAnsi="Arial" w:cs="Arial"/>
          <w:sz w:val="20"/>
          <w:szCs w:val="20"/>
        </w:rPr>
      </w:pPr>
      <w:r>
        <w:rPr>
          <w:rFonts w:ascii="Arial" w:hAnsi="Arial" w:cs="Arial"/>
          <w:sz w:val="20"/>
          <w:szCs w:val="20"/>
        </w:rPr>
        <w:t>Online pricing</w:t>
      </w:r>
    </w:p>
    <w:p w14:paraId="021113A4" w14:textId="122CF0FF" w:rsidR="003C7382" w:rsidRPr="005F797F" w:rsidRDefault="003C7382" w:rsidP="006666F0">
      <w:pPr>
        <w:pStyle w:val="ListParagraph"/>
        <w:numPr>
          <w:ilvl w:val="1"/>
          <w:numId w:val="13"/>
        </w:numPr>
        <w:rPr>
          <w:rFonts w:ascii="Arial" w:hAnsi="Arial" w:cs="Arial"/>
          <w:sz w:val="20"/>
          <w:szCs w:val="20"/>
        </w:rPr>
      </w:pPr>
      <w:r>
        <w:rPr>
          <w:rFonts w:ascii="Arial" w:hAnsi="Arial" w:cs="Arial"/>
          <w:sz w:val="20"/>
          <w:szCs w:val="20"/>
        </w:rPr>
        <w:t>Accessed April 2018</w:t>
      </w:r>
    </w:p>
    <w:p w14:paraId="6BF3A322" w14:textId="77777777" w:rsidR="005F797F" w:rsidRPr="005F797F" w:rsidRDefault="005F797F" w:rsidP="00E0684E">
      <w:pPr>
        <w:rPr>
          <w:rFonts w:ascii="Arial" w:hAnsi="Arial" w:cs="Arial"/>
          <w:sz w:val="20"/>
          <w:szCs w:val="20"/>
        </w:rPr>
      </w:pPr>
    </w:p>
    <w:p w14:paraId="53F7673C" w14:textId="28C34EA9" w:rsidR="00BC65D5" w:rsidRPr="00BC65D5" w:rsidRDefault="00BC65D5" w:rsidP="00BC65D5">
      <w:pPr>
        <w:rPr>
          <w:rFonts w:ascii="Arial" w:hAnsi="Arial" w:cs="Arial"/>
          <w:sz w:val="20"/>
          <w:szCs w:val="20"/>
        </w:rPr>
      </w:pPr>
      <w:r>
        <w:rPr>
          <w:rFonts w:ascii="Arial" w:hAnsi="Arial" w:cs="Arial"/>
          <w:sz w:val="20"/>
          <w:szCs w:val="20"/>
        </w:rPr>
        <w:t xml:space="preserve">Note that all program costs were projected to 2018 costs using the annual percent decline </w:t>
      </w:r>
      <w:r w:rsidR="005A45C1">
        <w:rPr>
          <w:rFonts w:ascii="Arial" w:hAnsi="Arial" w:cs="Arial"/>
          <w:sz w:val="20"/>
          <w:szCs w:val="20"/>
        </w:rPr>
        <w:t>value given in the</w:t>
      </w:r>
      <w:r>
        <w:rPr>
          <w:rFonts w:ascii="Arial" w:hAnsi="Arial" w:cs="Arial"/>
          <w:sz w:val="20"/>
          <w:szCs w:val="20"/>
        </w:rPr>
        <w:t xml:space="preserve"> Navigant </w:t>
      </w:r>
      <w:r w:rsidR="005A45C1">
        <w:rPr>
          <w:rFonts w:ascii="Arial" w:hAnsi="Arial" w:cs="Arial"/>
          <w:sz w:val="20"/>
          <w:szCs w:val="20"/>
        </w:rPr>
        <w:t>2015</w:t>
      </w:r>
      <w:r>
        <w:rPr>
          <w:rFonts w:ascii="Arial" w:hAnsi="Arial" w:cs="Arial"/>
          <w:sz w:val="20"/>
          <w:szCs w:val="20"/>
        </w:rPr>
        <w:t>/201</w:t>
      </w:r>
      <w:r w:rsidR="005A45C1">
        <w:rPr>
          <w:rFonts w:ascii="Arial" w:hAnsi="Arial" w:cs="Arial"/>
          <w:sz w:val="20"/>
          <w:szCs w:val="20"/>
        </w:rPr>
        <w:t>8</w:t>
      </w:r>
      <w:r>
        <w:rPr>
          <w:rFonts w:ascii="Arial" w:hAnsi="Arial" w:cs="Arial"/>
          <w:sz w:val="20"/>
          <w:szCs w:val="20"/>
        </w:rPr>
        <w:t xml:space="preserve"> LED pricing studies.</w:t>
      </w:r>
    </w:p>
    <w:p w14:paraId="55404F86" w14:textId="0540159B" w:rsidR="00BC65D5" w:rsidRPr="00BC65D5" w:rsidRDefault="00BC65D5" w:rsidP="006666F0">
      <w:pPr>
        <w:numPr>
          <w:ilvl w:val="0"/>
          <w:numId w:val="14"/>
        </w:numPr>
        <w:rPr>
          <w:rFonts w:ascii="Arial" w:hAnsi="Arial" w:cs="Arial"/>
          <w:sz w:val="20"/>
          <w:szCs w:val="20"/>
        </w:rPr>
      </w:pPr>
      <w:r w:rsidRPr="00BC65D5">
        <w:rPr>
          <w:rFonts w:ascii="Arial" w:hAnsi="Arial" w:cs="Arial"/>
          <w:sz w:val="20"/>
          <w:szCs w:val="20"/>
        </w:rPr>
        <w:t xml:space="preserve">From 2017 cost data to project </w:t>
      </w:r>
      <w:r w:rsidR="005A45C1">
        <w:rPr>
          <w:rFonts w:ascii="Arial" w:hAnsi="Arial" w:cs="Arial"/>
          <w:sz w:val="20"/>
          <w:szCs w:val="20"/>
        </w:rPr>
        <w:t>forward</w:t>
      </w:r>
      <w:r w:rsidRPr="00BC65D5">
        <w:rPr>
          <w:rFonts w:ascii="Arial" w:hAnsi="Arial" w:cs="Arial"/>
          <w:sz w:val="20"/>
          <w:szCs w:val="20"/>
        </w:rPr>
        <w:t xml:space="preserve"> to 2018 (Source: </w:t>
      </w:r>
      <w:r w:rsidRPr="00BC65D5" w:rsidDel="00271DB5">
        <w:rPr>
          <w:rFonts w:ascii="Arial" w:hAnsi="Arial" w:cs="Arial"/>
          <w:sz w:val="20"/>
          <w:szCs w:val="20"/>
        </w:rPr>
        <w:t>Appendix E-30</w:t>
      </w:r>
      <w:r w:rsidRPr="00BC65D5">
        <w:rPr>
          <w:rFonts w:ascii="Arial" w:hAnsi="Arial" w:cs="Arial"/>
          <w:sz w:val="20"/>
          <w:szCs w:val="20"/>
        </w:rPr>
        <w:t xml:space="preserve"> in Navigant 2018 </w:t>
      </w:r>
      <w:r w:rsidRPr="00BC65D5">
        <w:rPr>
          <w:rFonts w:ascii="Arial" w:hAnsi="Arial" w:cs="Arial"/>
          <w:sz w:val="20"/>
          <w:szCs w:val="20"/>
          <w:u w:val="single"/>
        </w:rPr>
        <w:t>California LED Pricing Analysis</w:t>
      </w:r>
      <w:r w:rsidRPr="00BC65D5">
        <w:rPr>
          <w:rFonts w:ascii="Arial" w:hAnsi="Arial" w:cs="Arial"/>
          <w:sz w:val="20"/>
          <w:szCs w:val="20"/>
        </w:rPr>
        <w:t>)</w:t>
      </w:r>
    </w:p>
    <w:p w14:paraId="1F37A2A5" w14:textId="06897DC8" w:rsidR="00BC65D5" w:rsidRPr="00BC65D5" w:rsidRDefault="00BC65D5" w:rsidP="006666F0">
      <w:pPr>
        <w:numPr>
          <w:ilvl w:val="1"/>
          <w:numId w:val="14"/>
        </w:numPr>
        <w:rPr>
          <w:rFonts w:ascii="Arial" w:hAnsi="Arial" w:cs="Arial"/>
          <w:sz w:val="20"/>
          <w:szCs w:val="20"/>
        </w:rPr>
      </w:pPr>
      <w:r w:rsidRPr="00BC65D5">
        <w:rPr>
          <w:rFonts w:ascii="Arial" w:hAnsi="Arial" w:cs="Arial"/>
          <w:sz w:val="20"/>
          <w:szCs w:val="20"/>
        </w:rPr>
        <w:t xml:space="preserve">High/Low Bay – use </w:t>
      </w:r>
      <w:r w:rsidRPr="00BC65D5" w:rsidDel="00271DB5">
        <w:rPr>
          <w:rFonts w:ascii="Arial" w:hAnsi="Arial" w:cs="Arial"/>
          <w:sz w:val="20"/>
          <w:szCs w:val="20"/>
        </w:rPr>
        <w:t>7</w:t>
      </w:r>
      <w:r w:rsidRPr="00BC65D5">
        <w:rPr>
          <w:rFonts w:ascii="Arial" w:hAnsi="Arial" w:cs="Arial"/>
          <w:sz w:val="20"/>
          <w:szCs w:val="20"/>
        </w:rPr>
        <w:t>%</w:t>
      </w:r>
    </w:p>
    <w:p w14:paraId="34675B0D" w14:textId="32C72883" w:rsidR="00BC65D5" w:rsidRPr="00BC65D5" w:rsidRDefault="00BC65D5" w:rsidP="006666F0">
      <w:pPr>
        <w:numPr>
          <w:ilvl w:val="0"/>
          <w:numId w:val="14"/>
        </w:numPr>
        <w:rPr>
          <w:rFonts w:ascii="Arial" w:hAnsi="Arial" w:cs="Arial"/>
          <w:sz w:val="20"/>
          <w:szCs w:val="20"/>
        </w:rPr>
      </w:pPr>
      <w:r w:rsidRPr="00BC65D5">
        <w:rPr>
          <w:rFonts w:ascii="Arial" w:hAnsi="Arial" w:cs="Arial"/>
          <w:sz w:val="20"/>
          <w:szCs w:val="20"/>
        </w:rPr>
        <w:t xml:space="preserve">From 2016 cost data to project </w:t>
      </w:r>
      <w:r w:rsidR="00271DB5">
        <w:rPr>
          <w:rFonts w:ascii="Arial" w:hAnsi="Arial" w:cs="Arial"/>
          <w:sz w:val="20"/>
          <w:szCs w:val="20"/>
        </w:rPr>
        <w:t>forward</w:t>
      </w:r>
      <w:r w:rsidR="00271DB5" w:rsidRPr="00BC65D5">
        <w:rPr>
          <w:rFonts w:ascii="Arial" w:hAnsi="Arial" w:cs="Arial"/>
          <w:sz w:val="20"/>
          <w:szCs w:val="20"/>
        </w:rPr>
        <w:t xml:space="preserve"> </w:t>
      </w:r>
      <w:r w:rsidRPr="00BC65D5">
        <w:rPr>
          <w:rFonts w:ascii="Arial" w:hAnsi="Arial" w:cs="Arial"/>
          <w:sz w:val="20"/>
          <w:szCs w:val="20"/>
        </w:rPr>
        <w:t xml:space="preserve">to 2018 (Sources:  Table 3-7 in Navigant 2018 </w:t>
      </w:r>
      <w:r w:rsidRPr="00BC65D5">
        <w:rPr>
          <w:rFonts w:ascii="Arial" w:hAnsi="Arial" w:cs="Arial"/>
          <w:sz w:val="20"/>
          <w:szCs w:val="20"/>
          <w:u w:val="single"/>
        </w:rPr>
        <w:t>California LED Pricing Analysis</w:t>
      </w:r>
      <w:r w:rsidRPr="00BC65D5">
        <w:rPr>
          <w:rFonts w:ascii="Arial" w:hAnsi="Arial" w:cs="Arial"/>
          <w:sz w:val="20"/>
          <w:szCs w:val="20"/>
        </w:rPr>
        <w:t xml:space="preserve">, Table 3-7 Navigant 2018, Table A-4 Navigant 2015, </w:t>
      </w:r>
      <w:r w:rsidRPr="00BC65D5" w:rsidDel="00271DB5">
        <w:rPr>
          <w:rFonts w:ascii="Arial" w:hAnsi="Arial" w:cs="Arial"/>
          <w:sz w:val="20"/>
          <w:szCs w:val="20"/>
        </w:rPr>
        <w:t>Appendix E-30</w:t>
      </w:r>
      <w:r w:rsidRPr="00BC65D5">
        <w:rPr>
          <w:rFonts w:ascii="Arial" w:hAnsi="Arial" w:cs="Arial"/>
          <w:sz w:val="20"/>
          <w:szCs w:val="20"/>
        </w:rPr>
        <w:t xml:space="preserve"> Navigant 2018)</w:t>
      </w:r>
    </w:p>
    <w:p w14:paraId="7C1CC3A8" w14:textId="1D69EF80" w:rsidR="00BC65D5" w:rsidRPr="00BC65D5" w:rsidRDefault="00BC65D5" w:rsidP="006666F0">
      <w:pPr>
        <w:numPr>
          <w:ilvl w:val="1"/>
          <w:numId w:val="14"/>
        </w:numPr>
        <w:rPr>
          <w:rFonts w:ascii="Arial" w:hAnsi="Arial" w:cs="Arial"/>
          <w:sz w:val="20"/>
          <w:szCs w:val="20"/>
        </w:rPr>
      </w:pPr>
      <w:r w:rsidRPr="00BC65D5">
        <w:rPr>
          <w:rFonts w:ascii="Arial" w:hAnsi="Arial" w:cs="Arial"/>
          <w:sz w:val="20"/>
          <w:szCs w:val="20"/>
        </w:rPr>
        <w:t xml:space="preserve">High Bay/Low Bay – Use 22% annual price decline to project to 2017, then use -13% to correct the projection for 2017, and then use </w:t>
      </w:r>
      <w:r w:rsidRPr="00BC65D5" w:rsidDel="00271DB5">
        <w:rPr>
          <w:rFonts w:ascii="Arial" w:hAnsi="Arial" w:cs="Arial"/>
          <w:sz w:val="20"/>
          <w:szCs w:val="20"/>
        </w:rPr>
        <w:t>7</w:t>
      </w:r>
      <w:r w:rsidRPr="00BC65D5">
        <w:rPr>
          <w:rFonts w:ascii="Arial" w:hAnsi="Arial" w:cs="Arial"/>
          <w:sz w:val="20"/>
          <w:szCs w:val="20"/>
        </w:rPr>
        <w:t>% annual decline to project for 2018 cost</w:t>
      </w:r>
    </w:p>
    <w:p w14:paraId="768AFE3C" w14:textId="77777777" w:rsidR="00BC65D5" w:rsidRPr="00BC65D5" w:rsidRDefault="00BC65D5" w:rsidP="006666F0">
      <w:pPr>
        <w:numPr>
          <w:ilvl w:val="1"/>
          <w:numId w:val="14"/>
        </w:numPr>
        <w:rPr>
          <w:rFonts w:ascii="Arial" w:hAnsi="Arial" w:cs="Arial"/>
          <w:sz w:val="20"/>
          <w:szCs w:val="20"/>
        </w:rPr>
      </w:pPr>
      <w:r w:rsidRPr="00BC65D5">
        <w:rPr>
          <w:rFonts w:ascii="Arial" w:hAnsi="Arial" w:cs="Arial"/>
          <w:sz w:val="20"/>
          <w:szCs w:val="20"/>
        </w:rPr>
        <w:lastRenderedPageBreak/>
        <w:t>Note: -13% represents an additional decrease of 13% in the price</w:t>
      </w:r>
    </w:p>
    <w:p w14:paraId="1C8291FF" w14:textId="77777777" w:rsidR="00BC65D5" w:rsidRDefault="00BC65D5" w:rsidP="00E0684E">
      <w:pPr>
        <w:rPr>
          <w:rFonts w:ascii="Arial" w:hAnsi="Arial" w:cs="Arial"/>
          <w:bCs/>
          <w:iCs/>
          <w:sz w:val="20"/>
          <w:szCs w:val="20"/>
        </w:rPr>
      </w:pPr>
    </w:p>
    <w:p w14:paraId="66DFD6E8" w14:textId="0358DAC3" w:rsidR="005A6D7E" w:rsidRDefault="005A6D7E" w:rsidP="00E0684E">
      <w:pPr>
        <w:rPr>
          <w:rFonts w:ascii="Arial" w:hAnsi="Arial" w:cs="Arial"/>
          <w:bCs/>
          <w:iCs/>
          <w:sz w:val="20"/>
          <w:szCs w:val="20"/>
        </w:rPr>
      </w:pPr>
      <w:r w:rsidRPr="005A6D7E">
        <w:rPr>
          <w:rFonts w:ascii="Arial" w:hAnsi="Arial" w:cs="Arial"/>
          <w:bCs/>
          <w:iCs/>
          <w:sz w:val="20"/>
          <w:szCs w:val="20"/>
        </w:rPr>
        <w:t xml:space="preserve">Due to </w:t>
      </w:r>
      <w:r>
        <w:rPr>
          <w:rFonts w:ascii="Arial" w:hAnsi="Arial" w:cs="Arial"/>
          <w:bCs/>
          <w:iCs/>
          <w:sz w:val="20"/>
          <w:szCs w:val="20"/>
        </w:rPr>
        <w:t xml:space="preserve">cost </w:t>
      </w:r>
      <w:r w:rsidRPr="005A6D7E">
        <w:rPr>
          <w:rFonts w:ascii="Arial" w:hAnsi="Arial" w:cs="Arial"/>
          <w:bCs/>
          <w:iCs/>
          <w:sz w:val="20"/>
          <w:szCs w:val="20"/>
        </w:rPr>
        <w:t xml:space="preserve">challenges listed in Section </w:t>
      </w:r>
      <w:r w:rsidRPr="1AA8F051">
        <w:fldChar w:fldCharType="begin"/>
      </w:r>
      <w:r w:rsidRPr="005A6D7E">
        <w:rPr>
          <w:rFonts w:ascii="Arial" w:hAnsi="Arial" w:cs="Arial"/>
          <w:bCs/>
          <w:iCs/>
          <w:sz w:val="20"/>
          <w:szCs w:val="20"/>
        </w:rPr>
        <w:instrText xml:space="preserve"> REF _Ref510940043 \h  \* MERGEFORMAT </w:instrText>
      </w:r>
      <w:r w:rsidRPr="1AA8F051">
        <w:rPr>
          <w:rFonts w:ascii="Arial" w:hAnsi="Arial" w:cs="Arial"/>
          <w:bCs/>
          <w:iCs/>
          <w:sz w:val="20"/>
          <w:szCs w:val="20"/>
        </w:rPr>
        <w:fldChar w:fldCharType="separate"/>
      </w:r>
      <w:r w:rsidRPr="005A6D7E">
        <w:rPr>
          <w:rFonts w:ascii="Arial" w:hAnsi="Arial" w:cs="Arial"/>
          <w:sz w:val="20"/>
          <w:szCs w:val="20"/>
        </w:rPr>
        <w:t>1.6.5 Cost Data Quality</w:t>
      </w:r>
      <w:r w:rsidRPr="1AA8F051">
        <w:fldChar w:fldCharType="end"/>
      </w:r>
      <w:r w:rsidRPr="005A6D7E">
        <w:rPr>
          <w:rFonts w:ascii="Arial" w:hAnsi="Arial" w:cs="Arial"/>
          <w:bCs/>
          <w:iCs/>
          <w:sz w:val="20"/>
          <w:szCs w:val="20"/>
        </w:rPr>
        <w:t>, three cost optio</w:t>
      </w:r>
      <w:r w:rsidRPr="0072055A">
        <w:rPr>
          <w:rFonts w:ascii="Arial" w:hAnsi="Arial" w:cs="Arial"/>
          <w:bCs/>
          <w:iCs/>
          <w:sz w:val="20"/>
          <w:szCs w:val="20"/>
        </w:rPr>
        <w:t>ns were evaluated</w:t>
      </w:r>
      <w:r w:rsidR="00726936" w:rsidRPr="0072055A">
        <w:rPr>
          <w:rFonts w:ascii="Arial" w:hAnsi="Arial" w:cs="Arial"/>
          <w:bCs/>
          <w:iCs/>
          <w:sz w:val="20"/>
          <w:szCs w:val="20"/>
        </w:rPr>
        <w:t xml:space="preserve">.  </w:t>
      </w:r>
      <w:r w:rsidR="0072055A" w:rsidRPr="0072055A">
        <w:rPr>
          <w:rFonts w:ascii="Arial" w:hAnsi="Arial" w:cs="Arial"/>
          <w:sz w:val="20"/>
          <w:szCs w:val="20"/>
        </w:rPr>
        <w:t>For the interim solution, cost option 3 was agreed upon with Commission Staff and until further research can be completed for cost pair matching.  The options are listed below along with</w:t>
      </w:r>
      <w:r w:rsidR="0072055A" w:rsidRPr="0072055A">
        <w:rPr>
          <w:rFonts w:ascii="Arial" w:hAnsi="Arial" w:cs="Arial"/>
          <w:bCs/>
          <w:iCs/>
          <w:sz w:val="20"/>
          <w:szCs w:val="20"/>
        </w:rPr>
        <w:t xml:space="preserve"> </w:t>
      </w:r>
      <w:r w:rsidR="0072055A" w:rsidRPr="0072055A">
        <w:rPr>
          <w:rFonts w:ascii="Arial" w:hAnsi="Arial" w:cs="Arial"/>
          <w:sz w:val="20"/>
          <w:szCs w:val="20"/>
        </w:rPr>
        <w:t>the advantages and disadvantages associated with each option:</w:t>
      </w:r>
    </w:p>
    <w:p w14:paraId="5D83F28A" w14:textId="77777777" w:rsidR="005A6D7E" w:rsidRDefault="005A6D7E" w:rsidP="00E0684E">
      <w:pPr>
        <w:rPr>
          <w:rFonts w:ascii="Arial" w:hAnsi="Arial" w:cs="Arial"/>
          <w:bCs/>
          <w:iCs/>
          <w:sz w:val="20"/>
          <w:szCs w:val="20"/>
        </w:rPr>
      </w:pPr>
    </w:p>
    <w:p w14:paraId="6154978A" w14:textId="5CE29559" w:rsidR="005A6D7E" w:rsidRDefault="005A6D7E" w:rsidP="006666F0">
      <w:pPr>
        <w:pStyle w:val="ListParagraph"/>
        <w:numPr>
          <w:ilvl w:val="0"/>
          <w:numId w:val="15"/>
        </w:numPr>
        <w:rPr>
          <w:rFonts w:ascii="Arial" w:hAnsi="Arial" w:cs="Arial"/>
          <w:bCs/>
          <w:iCs/>
          <w:sz w:val="20"/>
          <w:szCs w:val="20"/>
        </w:rPr>
      </w:pPr>
      <w:r w:rsidRPr="00726936">
        <w:rPr>
          <w:rFonts w:ascii="Arial" w:hAnsi="Arial" w:cs="Arial"/>
          <w:b/>
          <w:bCs/>
          <w:iCs/>
          <w:sz w:val="20"/>
          <w:szCs w:val="20"/>
        </w:rPr>
        <w:t>Option 1:</w:t>
      </w:r>
      <w:r w:rsidRPr="00726936">
        <w:rPr>
          <w:rFonts w:ascii="Arial" w:hAnsi="Arial" w:cs="Arial"/>
          <w:bCs/>
          <w:iCs/>
          <w:sz w:val="20"/>
          <w:szCs w:val="20"/>
        </w:rPr>
        <w:t xml:space="preserve">  </w:t>
      </w:r>
      <w:r w:rsidR="00A36BC0">
        <w:rPr>
          <w:rFonts w:ascii="Arial" w:hAnsi="Arial" w:cs="Arial"/>
          <w:bCs/>
          <w:iCs/>
          <w:sz w:val="20"/>
          <w:szCs w:val="20"/>
        </w:rPr>
        <w:t xml:space="preserve">The base case LED cost is calculated using </w:t>
      </w:r>
      <w:r w:rsidRPr="00726936">
        <w:rPr>
          <w:rFonts w:ascii="Arial" w:hAnsi="Arial" w:cs="Arial"/>
          <w:bCs/>
          <w:iCs/>
          <w:sz w:val="20"/>
          <w:szCs w:val="20"/>
        </w:rPr>
        <w:t>an average of the DLC Standard fixtures obtained from PG&amp;E Program Data.</w:t>
      </w:r>
    </w:p>
    <w:p w14:paraId="3D46D5AB" w14:textId="7FBA1060" w:rsidR="005331D4" w:rsidRPr="005331D4" w:rsidRDefault="005331D4" w:rsidP="006666F0">
      <w:pPr>
        <w:pStyle w:val="ListParagraph"/>
        <w:numPr>
          <w:ilvl w:val="1"/>
          <w:numId w:val="15"/>
        </w:numPr>
        <w:rPr>
          <w:rFonts w:ascii="Arial" w:hAnsi="Arial" w:cs="Arial"/>
          <w:b/>
          <w:bCs/>
          <w:iCs/>
          <w:sz w:val="20"/>
          <w:szCs w:val="20"/>
        </w:rPr>
      </w:pPr>
      <w:r w:rsidRPr="005331D4">
        <w:rPr>
          <w:rFonts w:ascii="Arial" w:hAnsi="Arial" w:cs="Arial"/>
          <w:b/>
          <w:bCs/>
          <w:iCs/>
          <w:sz w:val="20"/>
          <w:szCs w:val="20"/>
        </w:rPr>
        <w:t>Advantages:</w:t>
      </w:r>
      <w:r>
        <w:rPr>
          <w:rFonts w:ascii="Arial" w:hAnsi="Arial" w:cs="Arial"/>
          <w:b/>
          <w:bCs/>
          <w:iCs/>
          <w:sz w:val="20"/>
          <w:szCs w:val="20"/>
        </w:rPr>
        <w:t xml:space="preserve">  </w:t>
      </w:r>
      <w:r>
        <w:rPr>
          <w:rFonts w:ascii="Arial" w:hAnsi="Arial" w:cs="Arial"/>
          <w:bCs/>
          <w:iCs/>
          <w:sz w:val="20"/>
          <w:szCs w:val="20"/>
        </w:rPr>
        <w:t xml:space="preserve">The incremental cost values are </w:t>
      </w:r>
      <w:r w:rsidR="006B2986">
        <w:rPr>
          <w:rFonts w:ascii="Arial" w:hAnsi="Arial" w:cs="Arial"/>
          <w:bCs/>
          <w:iCs/>
          <w:sz w:val="20"/>
          <w:szCs w:val="20"/>
        </w:rPr>
        <w:t xml:space="preserve">all </w:t>
      </w:r>
      <w:r>
        <w:rPr>
          <w:rFonts w:ascii="Arial" w:hAnsi="Arial" w:cs="Arial"/>
          <w:bCs/>
          <w:iCs/>
          <w:sz w:val="20"/>
          <w:szCs w:val="20"/>
        </w:rPr>
        <w:t>positive except for 1 measure.</w:t>
      </w:r>
    </w:p>
    <w:p w14:paraId="2096C50E" w14:textId="68CEF00B" w:rsidR="005331D4" w:rsidRPr="005331D4" w:rsidRDefault="005331D4" w:rsidP="006666F0">
      <w:pPr>
        <w:pStyle w:val="ListParagraph"/>
        <w:numPr>
          <w:ilvl w:val="1"/>
          <w:numId w:val="15"/>
        </w:numPr>
        <w:rPr>
          <w:rFonts w:ascii="Arial" w:hAnsi="Arial" w:cs="Arial"/>
          <w:b/>
          <w:bCs/>
          <w:iCs/>
          <w:sz w:val="20"/>
          <w:szCs w:val="20"/>
        </w:rPr>
      </w:pPr>
      <w:r w:rsidRPr="005331D4">
        <w:rPr>
          <w:rFonts w:ascii="Arial" w:hAnsi="Arial" w:cs="Arial"/>
          <w:b/>
          <w:bCs/>
          <w:iCs/>
          <w:sz w:val="20"/>
          <w:szCs w:val="20"/>
        </w:rPr>
        <w:t>Disadvantages</w:t>
      </w:r>
      <w:r w:rsidRPr="0072055A">
        <w:rPr>
          <w:rFonts w:ascii="Arial" w:hAnsi="Arial" w:cs="Arial"/>
          <w:bCs/>
          <w:iCs/>
          <w:sz w:val="20"/>
          <w:szCs w:val="20"/>
        </w:rPr>
        <w:t xml:space="preserve">:  </w:t>
      </w:r>
      <w:r w:rsidR="0072055A" w:rsidRPr="0072055A">
        <w:rPr>
          <w:rFonts w:ascii="Arial" w:hAnsi="Arial" w:cs="Arial"/>
          <w:bCs/>
          <w:iCs/>
          <w:sz w:val="20"/>
          <w:szCs w:val="20"/>
        </w:rPr>
        <w:t>LED Cost e</w:t>
      </w:r>
      <w:r w:rsidR="0072055A" w:rsidRPr="0072055A">
        <w:rPr>
          <w:rFonts w:ascii="Arial" w:hAnsi="Arial" w:cs="Arial"/>
          <w:sz w:val="20"/>
          <w:szCs w:val="20"/>
        </w:rPr>
        <w:t>fficacy does not mirror the savings LED base case efficacy</w:t>
      </w:r>
      <w:r w:rsidR="0072055A">
        <w:rPr>
          <w:rFonts w:ascii="Arial" w:hAnsi="Arial" w:cs="Arial"/>
          <w:sz w:val="20"/>
          <w:szCs w:val="20"/>
        </w:rPr>
        <w:t>.</w:t>
      </w:r>
      <w:r>
        <w:rPr>
          <w:rFonts w:ascii="Arial" w:hAnsi="Arial" w:cs="Arial"/>
          <w:bCs/>
          <w:iCs/>
          <w:sz w:val="20"/>
          <w:szCs w:val="20"/>
        </w:rPr>
        <w:t xml:space="preserve">  </w:t>
      </w:r>
      <w:r w:rsidR="00781731">
        <w:rPr>
          <w:rFonts w:ascii="Arial" w:hAnsi="Arial" w:cs="Arial"/>
          <w:bCs/>
          <w:iCs/>
          <w:sz w:val="20"/>
          <w:szCs w:val="20"/>
        </w:rPr>
        <w:t>Several Tier 2 LED base case costs are higher than the measure case</w:t>
      </w:r>
      <w:r w:rsidR="00A36BC0">
        <w:rPr>
          <w:rFonts w:ascii="Arial" w:hAnsi="Arial" w:cs="Arial"/>
          <w:bCs/>
          <w:iCs/>
          <w:sz w:val="20"/>
          <w:szCs w:val="20"/>
        </w:rPr>
        <w:t xml:space="preserve"> cost</w:t>
      </w:r>
      <w:r w:rsidR="00781731">
        <w:rPr>
          <w:rFonts w:ascii="Arial" w:hAnsi="Arial" w:cs="Arial"/>
          <w:bCs/>
          <w:iCs/>
          <w:sz w:val="20"/>
          <w:szCs w:val="20"/>
        </w:rPr>
        <w:t xml:space="preserve">.  </w:t>
      </w:r>
      <w:r>
        <w:rPr>
          <w:rFonts w:ascii="Arial" w:hAnsi="Arial" w:cs="Arial"/>
          <w:bCs/>
          <w:iCs/>
          <w:sz w:val="20"/>
          <w:szCs w:val="20"/>
        </w:rPr>
        <w:t>The range of incremental measure cost values range from $4 to $18 per fixture for Tier 1 and - $11 to $281 per fixture for Tier 2.</w:t>
      </w:r>
    </w:p>
    <w:p w14:paraId="19470CFF" w14:textId="1B9D7011" w:rsidR="005A6D7E" w:rsidRDefault="005A6D7E" w:rsidP="006666F0">
      <w:pPr>
        <w:pStyle w:val="ListParagraph"/>
        <w:numPr>
          <w:ilvl w:val="0"/>
          <w:numId w:val="15"/>
        </w:numPr>
        <w:rPr>
          <w:rFonts w:ascii="Arial" w:hAnsi="Arial" w:cs="Arial"/>
          <w:bCs/>
          <w:iCs/>
          <w:sz w:val="20"/>
          <w:szCs w:val="20"/>
        </w:rPr>
      </w:pPr>
      <w:r w:rsidRPr="00726936">
        <w:rPr>
          <w:rFonts w:ascii="Arial" w:hAnsi="Arial" w:cs="Arial"/>
          <w:b/>
          <w:bCs/>
          <w:iCs/>
          <w:sz w:val="20"/>
          <w:szCs w:val="20"/>
        </w:rPr>
        <w:t>Option 2:</w:t>
      </w:r>
      <w:r w:rsidRPr="00726936">
        <w:rPr>
          <w:rFonts w:ascii="Arial" w:hAnsi="Arial" w:cs="Arial"/>
          <w:bCs/>
          <w:iCs/>
          <w:sz w:val="20"/>
          <w:szCs w:val="20"/>
        </w:rPr>
        <w:t xml:space="preserve">  </w:t>
      </w:r>
      <w:r w:rsidR="00A36BC0">
        <w:rPr>
          <w:rFonts w:ascii="Arial" w:hAnsi="Arial" w:cs="Arial"/>
          <w:bCs/>
          <w:iCs/>
          <w:sz w:val="20"/>
          <w:szCs w:val="20"/>
        </w:rPr>
        <w:t>T</w:t>
      </w:r>
      <w:r w:rsidR="0072055A">
        <w:rPr>
          <w:rFonts w:ascii="Arial" w:hAnsi="Arial" w:cs="Arial"/>
          <w:bCs/>
          <w:iCs/>
          <w:sz w:val="20"/>
          <w:szCs w:val="20"/>
        </w:rPr>
        <w:t>he base case LED cost</w:t>
      </w:r>
      <w:r w:rsidR="00A36BC0">
        <w:rPr>
          <w:rFonts w:ascii="Arial" w:hAnsi="Arial" w:cs="Arial"/>
          <w:bCs/>
          <w:iCs/>
          <w:sz w:val="20"/>
          <w:szCs w:val="20"/>
        </w:rPr>
        <w:t xml:space="preserve"> is calculated using</w:t>
      </w:r>
      <w:r w:rsidRPr="00726936">
        <w:rPr>
          <w:rFonts w:ascii="Arial" w:hAnsi="Arial" w:cs="Arial"/>
          <w:bCs/>
          <w:iCs/>
          <w:sz w:val="20"/>
          <w:szCs w:val="20"/>
        </w:rPr>
        <w:t xml:space="preserve"> an average of the fix</w:t>
      </w:r>
      <w:r w:rsidR="006B2986">
        <w:rPr>
          <w:rFonts w:ascii="Arial" w:hAnsi="Arial" w:cs="Arial"/>
          <w:bCs/>
          <w:iCs/>
          <w:sz w:val="20"/>
          <w:szCs w:val="20"/>
        </w:rPr>
        <w:t>t</w:t>
      </w:r>
      <w:r w:rsidRPr="00726936">
        <w:rPr>
          <w:rFonts w:ascii="Arial" w:hAnsi="Arial" w:cs="Arial"/>
          <w:bCs/>
          <w:iCs/>
          <w:sz w:val="20"/>
          <w:szCs w:val="20"/>
        </w:rPr>
        <w:t xml:space="preserve">ures </w:t>
      </w:r>
      <w:r w:rsidR="00726936" w:rsidRPr="00726936">
        <w:rPr>
          <w:rFonts w:ascii="Arial" w:hAnsi="Arial" w:cs="Arial"/>
          <w:bCs/>
          <w:iCs/>
          <w:sz w:val="20"/>
          <w:szCs w:val="20"/>
        </w:rPr>
        <w:t xml:space="preserve">with an efficacy at or below the DOE </w:t>
      </w:r>
      <w:r w:rsidR="002C3514" w:rsidRPr="00726936">
        <w:rPr>
          <w:rFonts w:ascii="Arial" w:hAnsi="Arial" w:cs="Arial"/>
          <w:bCs/>
          <w:iCs/>
          <w:sz w:val="20"/>
          <w:szCs w:val="20"/>
        </w:rPr>
        <w:t>Lighting Facts</w:t>
      </w:r>
      <w:r w:rsidR="00726936" w:rsidRPr="00726936">
        <w:rPr>
          <w:rFonts w:ascii="Arial" w:hAnsi="Arial" w:cs="Arial"/>
          <w:bCs/>
          <w:iCs/>
          <w:sz w:val="20"/>
          <w:szCs w:val="20"/>
        </w:rPr>
        <w:t xml:space="preserve"> 25</w:t>
      </w:r>
      <w:r w:rsidR="00726936" w:rsidRPr="00726936">
        <w:rPr>
          <w:rFonts w:ascii="Arial" w:hAnsi="Arial" w:cs="Arial"/>
          <w:bCs/>
          <w:iCs/>
          <w:sz w:val="20"/>
          <w:szCs w:val="20"/>
          <w:vertAlign w:val="superscript"/>
        </w:rPr>
        <w:t>th</w:t>
      </w:r>
      <w:r w:rsidR="00726936" w:rsidRPr="00726936">
        <w:rPr>
          <w:rFonts w:ascii="Arial" w:hAnsi="Arial" w:cs="Arial"/>
          <w:bCs/>
          <w:iCs/>
          <w:sz w:val="20"/>
          <w:szCs w:val="20"/>
        </w:rPr>
        <w:t xml:space="preserve"> percentile </w:t>
      </w:r>
      <w:r w:rsidRPr="00726936">
        <w:rPr>
          <w:rFonts w:ascii="Arial" w:hAnsi="Arial" w:cs="Arial"/>
          <w:bCs/>
          <w:iCs/>
          <w:sz w:val="20"/>
          <w:szCs w:val="20"/>
        </w:rPr>
        <w:t xml:space="preserve">obtained from PG&amp;E Program </w:t>
      </w:r>
      <w:r w:rsidR="002C3514" w:rsidRPr="00726936">
        <w:rPr>
          <w:rFonts w:ascii="Arial" w:hAnsi="Arial" w:cs="Arial"/>
          <w:bCs/>
          <w:iCs/>
          <w:sz w:val="20"/>
          <w:szCs w:val="20"/>
        </w:rPr>
        <w:t>Data</w:t>
      </w:r>
      <w:r w:rsidR="002C3514" w:rsidRPr="00726936" w:rsidDel="00A36BC0">
        <w:rPr>
          <w:rFonts w:ascii="Arial" w:hAnsi="Arial" w:cs="Arial"/>
          <w:bCs/>
          <w:iCs/>
          <w:sz w:val="20"/>
          <w:szCs w:val="20"/>
        </w:rPr>
        <w:t>.</w:t>
      </w:r>
    </w:p>
    <w:p w14:paraId="3F536278" w14:textId="77777777" w:rsidR="0072055A" w:rsidRPr="0072055A" w:rsidRDefault="005331D4" w:rsidP="006666F0">
      <w:pPr>
        <w:pStyle w:val="ListParagraph"/>
        <w:numPr>
          <w:ilvl w:val="1"/>
          <w:numId w:val="15"/>
        </w:numPr>
        <w:rPr>
          <w:rFonts w:ascii="Arial" w:hAnsi="Arial" w:cs="Arial"/>
          <w:bCs/>
          <w:iCs/>
          <w:sz w:val="20"/>
          <w:szCs w:val="20"/>
        </w:rPr>
      </w:pPr>
      <w:r w:rsidRPr="0072055A">
        <w:rPr>
          <w:rFonts w:ascii="Arial" w:hAnsi="Arial" w:cs="Arial"/>
          <w:b/>
          <w:bCs/>
          <w:iCs/>
          <w:sz w:val="20"/>
          <w:szCs w:val="20"/>
        </w:rPr>
        <w:t xml:space="preserve">Advantages:  </w:t>
      </w:r>
      <w:r w:rsidR="0072055A" w:rsidRPr="0072055A">
        <w:rPr>
          <w:rFonts w:ascii="Arial" w:hAnsi="Arial" w:cs="Arial"/>
          <w:sz w:val="20"/>
          <w:szCs w:val="20"/>
        </w:rPr>
        <w:t>The efficacy mirrors the savings base case efficacy.</w:t>
      </w:r>
    </w:p>
    <w:p w14:paraId="5D5A6096" w14:textId="494A3801" w:rsidR="005331D4" w:rsidRPr="0072055A" w:rsidRDefault="005331D4" w:rsidP="006666F0">
      <w:pPr>
        <w:pStyle w:val="ListParagraph"/>
        <w:numPr>
          <w:ilvl w:val="1"/>
          <w:numId w:val="15"/>
        </w:numPr>
        <w:rPr>
          <w:rFonts w:ascii="Arial" w:hAnsi="Arial" w:cs="Arial"/>
          <w:bCs/>
          <w:iCs/>
          <w:sz w:val="20"/>
          <w:szCs w:val="20"/>
        </w:rPr>
      </w:pPr>
      <w:r w:rsidRPr="0072055A">
        <w:rPr>
          <w:rFonts w:ascii="Arial" w:hAnsi="Arial" w:cs="Arial"/>
          <w:b/>
          <w:bCs/>
          <w:iCs/>
          <w:sz w:val="20"/>
          <w:szCs w:val="20"/>
        </w:rPr>
        <w:t xml:space="preserve">Disadvantages:  </w:t>
      </w:r>
      <w:r w:rsidR="006B2986" w:rsidRPr="0072055A">
        <w:rPr>
          <w:rFonts w:ascii="Arial" w:hAnsi="Arial" w:cs="Arial"/>
          <w:bCs/>
          <w:iCs/>
          <w:sz w:val="20"/>
          <w:szCs w:val="20"/>
        </w:rPr>
        <w:t xml:space="preserve">Data points with these relatively low efficacies are from earlier program years (2016 and 2017) when DLC Standard </w:t>
      </w:r>
      <w:r w:rsidR="00A36BC0" w:rsidRPr="0072055A">
        <w:rPr>
          <w:rFonts w:ascii="Arial" w:hAnsi="Arial" w:cs="Arial"/>
          <w:bCs/>
          <w:iCs/>
          <w:sz w:val="20"/>
          <w:szCs w:val="20"/>
        </w:rPr>
        <w:t xml:space="preserve">technical </w:t>
      </w:r>
      <w:r w:rsidR="006B2986" w:rsidRPr="0072055A">
        <w:rPr>
          <w:rFonts w:ascii="Arial" w:hAnsi="Arial" w:cs="Arial"/>
          <w:bCs/>
          <w:iCs/>
          <w:sz w:val="20"/>
          <w:szCs w:val="20"/>
        </w:rPr>
        <w:t xml:space="preserve">requirements </w:t>
      </w:r>
      <w:r w:rsidR="00A55F1F" w:rsidRPr="0072055A">
        <w:rPr>
          <w:rFonts w:ascii="Arial" w:hAnsi="Arial" w:cs="Arial"/>
          <w:bCs/>
          <w:iCs/>
          <w:sz w:val="20"/>
          <w:szCs w:val="20"/>
        </w:rPr>
        <w:t>had lower qualification requirements for efficacy</w:t>
      </w:r>
      <w:r w:rsidR="006B2986" w:rsidRPr="0072055A">
        <w:rPr>
          <w:rFonts w:ascii="Arial" w:hAnsi="Arial" w:cs="Arial"/>
          <w:bCs/>
          <w:iCs/>
          <w:sz w:val="20"/>
          <w:szCs w:val="20"/>
        </w:rPr>
        <w:t xml:space="preserve">.  </w:t>
      </w:r>
      <w:r w:rsidRPr="0072055A">
        <w:rPr>
          <w:rFonts w:ascii="Arial" w:hAnsi="Arial" w:cs="Arial"/>
          <w:bCs/>
          <w:iCs/>
          <w:sz w:val="20"/>
          <w:szCs w:val="20"/>
        </w:rPr>
        <w:t>Even with a projected annual percent decline percentage applied, the cost is</w:t>
      </w:r>
      <w:r w:rsidR="006B2986" w:rsidRPr="0072055A">
        <w:rPr>
          <w:rFonts w:ascii="Arial" w:hAnsi="Arial" w:cs="Arial"/>
          <w:bCs/>
          <w:iCs/>
          <w:sz w:val="20"/>
          <w:szCs w:val="20"/>
        </w:rPr>
        <w:t xml:space="preserve"> still high and therefore, </w:t>
      </w:r>
      <w:r w:rsidRPr="0072055A">
        <w:rPr>
          <w:rFonts w:ascii="Arial" w:hAnsi="Arial" w:cs="Arial"/>
          <w:bCs/>
          <w:iCs/>
          <w:sz w:val="20"/>
          <w:szCs w:val="20"/>
        </w:rPr>
        <w:t>creating negative incremental cost values.</w:t>
      </w:r>
      <w:r w:rsidR="006B2986" w:rsidRPr="0072055A">
        <w:rPr>
          <w:rFonts w:ascii="Arial" w:hAnsi="Arial" w:cs="Arial"/>
          <w:bCs/>
          <w:iCs/>
          <w:sz w:val="20"/>
          <w:szCs w:val="20"/>
        </w:rPr>
        <w:t xml:space="preserve">  In all </w:t>
      </w:r>
      <w:r w:rsidR="00A55F1F" w:rsidRPr="0072055A">
        <w:rPr>
          <w:rFonts w:ascii="Arial" w:hAnsi="Arial" w:cs="Arial"/>
          <w:bCs/>
          <w:iCs/>
          <w:sz w:val="20"/>
          <w:szCs w:val="20"/>
        </w:rPr>
        <w:t xml:space="preserve">but two </w:t>
      </w:r>
      <w:r w:rsidR="006B2986" w:rsidRPr="0072055A">
        <w:rPr>
          <w:rFonts w:ascii="Arial" w:hAnsi="Arial" w:cs="Arial"/>
          <w:bCs/>
          <w:iCs/>
          <w:sz w:val="20"/>
          <w:szCs w:val="20"/>
        </w:rPr>
        <w:t xml:space="preserve">measures, the LED base case </w:t>
      </w:r>
      <w:r w:rsidR="00A55F1F" w:rsidRPr="0072055A">
        <w:rPr>
          <w:rFonts w:ascii="Arial" w:hAnsi="Arial" w:cs="Arial"/>
          <w:bCs/>
          <w:iCs/>
          <w:sz w:val="20"/>
          <w:szCs w:val="20"/>
        </w:rPr>
        <w:t xml:space="preserve">cost </w:t>
      </w:r>
      <w:r w:rsidR="006B2986" w:rsidRPr="0072055A">
        <w:rPr>
          <w:rFonts w:ascii="Arial" w:hAnsi="Arial" w:cs="Arial"/>
          <w:bCs/>
          <w:iCs/>
          <w:sz w:val="20"/>
          <w:szCs w:val="20"/>
        </w:rPr>
        <w:t>is higher than the measure case</w:t>
      </w:r>
      <w:r w:rsidR="00A55F1F" w:rsidRPr="0072055A">
        <w:rPr>
          <w:rFonts w:ascii="Arial" w:hAnsi="Arial" w:cs="Arial"/>
          <w:bCs/>
          <w:iCs/>
          <w:sz w:val="20"/>
          <w:szCs w:val="20"/>
        </w:rPr>
        <w:t xml:space="preserve"> cost</w:t>
      </w:r>
      <w:r w:rsidR="006B2986" w:rsidRPr="0072055A">
        <w:rPr>
          <w:rFonts w:ascii="Arial" w:hAnsi="Arial" w:cs="Arial"/>
          <w:bCs/>
          <w:iCs/>
          <w:sz w:val="20"/>
          <w:szCs w:val="20"/>
        </w:rPr>
        <w:t>.</w:t>
      </w:r>
    </w:p>
    <w:p w14:paraId="628D657D" w14:textId="783FB831" w:rsidR="00726936" w:rsidRDefault="00726936" w:rsidP="006666F0">
      <w:pPr>
        <w:pStyle w:val="ListParagraph"/>
        <w:numPr>
          <w:ilvl w:val="0"/>
          <w:numId w:val="15"/>
        </w:numPr>
        <w:rPr>
          <w:rFonts w:ascii="Arial" w:hAnsi="Arial" w:cs="Arial"/>
          <w:bCs/>
          <w:iCs/>
          <w:sz w:val="20"/>
          <w:szCs w:val="20"/>
        </w:rPr>
      </w:pPr>
      <w:r w:rsidRPr="00726936">
        <w:rPr>
          <w:rFonts w:ascii="Arial" w:hAnsi="Arial" w:cs="Arial"/>
          <w:b/>
          <w:bCs/>
          <w:iCs/>
          <w:sz w:val="20"/>
          <w:szCs w:val="20"/>
        </w:rPr>
        <w:t>Option 3:</w:t>
      </w:r>
      <w:r w:rsidRPr="00726936">
        <w:rPr>
          <w:rFonts w:ascii="Arial" w:hAnsi="Arial" w:cs="Arial"/>
          <w:bCs/>
          <w:iCs/>
          <w:sz w:val="20"/>
          <w:szCs w:val="20"/>
        </w:rPr>
        <w:t xml:space="preserve">  </w:t>
      </w:r>
      <w:r w:rsidR="006B2986">
        <w:rPr>
          <w:rFonts w:ascii="Arial" w:hAnsi="Arial" w:cs="Arial"/>
          <w:bCs/>
          <w:iCs/>
          <w:sz w:val="20"/>
          <w:szCs w:val="20"/>
        </w:rPr>
        <w:t>Acknowledges the traditional cost logic model should be re-evaluated and as an interim solution, e</w:t>
      </w:r>
      <w:r w:rsidRPr="00726936">
        <w:rPr>
          <w:rFonts w:ascii="Arial" w:hAnsi="Arial" w:cs="Arial"/>
          <w:bCs/>
          <w:iCs/>
          <w:sz w:val="20"/>
          <w:szCs w:val="20"/>
        </w:rPr>
        <w:t>stablishes the IMC based on the proposed rebates for the program</w:t>
      </w:r>
    </w:p>
    <w:p w14:paraId="5B1BF40C" w14:textId="06461678" w:rsidR="005331D4" w:rsidRDefault="005331D4" w:rsidP="006666F0">
      <w:pPr>
        <w:pStyle w:val="ListParagraph"/>
        <w:numPr>
          <w:ilvl w:val="1"/>
          <w:numId w:val="15"/>
        </w:numPr>
        <w:rPr>
          <w:rFonts w:ascii="Arial" w:hAnsi="Arial" w:cs="Arial"/>
          <w:bCs/>
          <w:iCs/>
          <w:sz w:val="20"/>
          <w:szCs w:val="20"/>
        </w:rPr>
      </w:pPr>
      <w:r>
        <w:rPr>
          <w:rFonts w:ascii="Arial" w:hAnsi="Arial" w:cs="Arial"/>
          <w:b/>
          <w:bCs/>
          <w:iCs/>
          <w:sz w:val="20"/>
          <w:szCs w:val="20"/>
        </w:rPr>
        <w:t>Advantages:</w:t>
      </w:r>
      <w:r w:rsidR="006B2986">
        <w:rPr>
          <w:rFonts w:ascii="Arial" w:hAnsi="Arial" w:cs="Arial"/>
          <w:b/>
          <w:bCs/>
          <w:iCs/>
          <w:sz w:val="20"/>
          <w:szCs w:val="20"/>
        </w:rPr>
        <w:t xml:space="preserve">  </w:t>
      </w:r>
      <w:r w:rsidR="006B2986">
        <w:rPr>
          <w:rFonts w:ascii="Arial" w:hAnsi="Arial" w:cs="Arial"/>
          <w:bCs/>
          <w:iCs/>
          <w:sz w:val="20"/>
          <w:szCs w:val="20"/>
        </w:rPr>
        <w:t xml:space="preserve">Minimizes disruption to </w:t>
      </w:r>
      <w:r w:rsidR="0072055A">
        <w:rPr>
          <w:rFonts w:ascii="Arial" w:hAnsi="Arial" w:cs="Arial"/>
          <w:bCs/>
          <w:iCs/>
          <w:sz w:val="20"/>
          <w:szCs w:val="20"/>
        </w:rPr>
        <w:t>program participants enabling existing measures to continue, reflecting baseline and savings adjustments</w:t>
      </w:r>
    </w:p>
    <w:p w14:paraId="04CC3E7C" w14:textId="1C2E4479" w:rsidR="005A6D7E" w:rsidRPr="0072055A" w:rsidRDefault="005331D4" w:rsidP="006666F0">
      <w:pPr>
        <w:pStyle w:val="ListParagraph"/>
        <w:numPr>
          <w:ilvl w:val="1"/>
          <w:numId w:val="15"/>
        </w:numPr>
        <w:rPr>
          <w:rFonts w:ascii="Arial" w:hAnsi="Arial" w:cs="Arial"/>
          <w:b/>
          <w:bCs/>
          <w:iCs/>
          <w:sz w:val="20"/>
          <w:szCs w:val="20"/>
        </w:rPr>
      </w:pPr>
      <w:r w:rsidRPr="006B2986">
        <w:rPr>
          <w:rFonts w:ascii="Arial" w:hAnsi="Arial" w:cs="Arial"/>
          <w:b/>
          <w:bCs/>
          <w:iCs/>
          <w:sz w:val="20"/>
          <w:szCs w:val="20"/>
        </w:rPr>
        <w:t>Disadvantages:</w:t>
      </w:r>
      <w:r w:rsidR="006B2986">
        <w:rPr>
          <w:rFonts w:ascii="Arial" w:hAnsi="Arial" w:cs="Arial"/>
          <w:b/>
          <w:bCs/>
          <w:iCs/>
          <w:sz w:val="20"/>
          <w:szCs w:val="20"/>
        </w:rPr>
        <w:t xml:space="preserve">  </w:t>
      </w:r>
      <w:r w:rsidR="0072055A">
        <w:rPr>
          <w:rFonts w:ascii="Arial" w:hAnsi="Arial" w:cs="Arial"/>
          <w:bCs/>
          <w:iCs/>
          <w:sz w:val="20"/>
          <w:szCs w:val="20"/>
        </w:rPr>
        <w:t>Lack of supporting data</w:t>
      </w:r>
    </w:p>
    <w:p w14:paraId="65D6CA6C" w14:textId="77777777" w:rsidR="00D17F75" w:rsidRPr="00130C40" w:rsidRDefault="00C069A2" w:rsidP="00D17F75">
      <w:pPr>
        <w:pStyle w:val="Heading2"/>
      </w:pPr>
      <w:bookmarkStart w:id="177" w:name="_Toc511038053"/>
      <w:bookmarkStart w:id="178" w:name="_Toc511244905"/>
      <w:r w:rsidRPr="00130C40">
        <w:t>4.1 Base Case Costs</w:t>
      </w:r>
      <w:bookmarkEnd w:id="177"/>
      <w:bookmarkEnd w:id="178"/>
    </w:p>
    <w:p w14:paraId="52B026FA" w14:textId="77777777" w:rsidR="0072055A" w:rsidRPr="0072055A" w:rsidRDefault="0072055A" w:rsidP="0049120B">
      <w:pPr>
        <w:rPr>
          <w:rFonts w:ascii="Arial" w:hAnsi="Arial" w:cs="Arial"/>
          <w:b/>
          <w:sz w:val="20"/>
          <w:szCs w:val="20"/>
          <w:u w:val="single"/>
        </w:rPr>
      </w:pPr>
      <w:r w:rsidRPr="0072055A">
        <w:rPr>
          <w:rFonts w:ascii="Arial" w:hAnsi="Arial" w:cs="Arial"/>
          <w:b/>
          <w:sz w:val="20"/>
          <w:szCs w:val="20"/>
          <w:u w:val="single"/>
        </w:rPr>
        <w:t>Option 1 and 2</w:t>
      </w:r>
    </w:p>
    <w:p w14:paraId="0A5D0A4B" w14:textId="297A44DA" w:rsidR="00E42757" w:rsidRPr="00E42757" w:rsidRDefault="00E42757" w:rsidP="0049120B">
      <w:pPr>
        <w:rPr>
          <w:rFonts w:ascii="Arial" w:hAnsi="Arial" w:cs="Arial"/>
          <w:sz w:val="20"/>
          <w:szCs w:val="20"/>
        </w:rPr>
      </w:pPr>
      <w:r w:rsidRPr="00E42757">
        <w:rPr>
          <w:rFonts w:ascii="Arial" w:hAnsi="Arial" w:cs="Arial"/>
          <w:sz w:val="20"/>
          <w:szCs w:val="20"/>
        </w:rPr>
        <w:t xml:space="preserve">The base case is blended using the technology mix from </w:t>
      </w:r>
      <w:r w:rsidRPr="1AA8F051">
        <w:fldChar w:fldCharType="begin"/>
      </w:r>
      <w:r w:rsidRPr="00E42757">
        <w:rPr>
          <w:rFonts w:ascii="Arial" w:hAnsi="Arial" w:cs="Arial"/>
          <w:sz w:val="20"/>
          <w:szCs w:val="20"/>
        </w:rPr>
        <w:instrText xml:space="preserve"> REF _Ref510982488 \h  \* MERGEFORMAT </w:instrText>
      </w:r>
      <w:r w:rsidRPr="1AA8F051">
        <w:rPr>
          <w:rFonts w:ascii="Arial" w:hAnsi="Arial" w:cs="Arial"/>
          <w:sz w:val="20"/>
          <w:szCs w:val="20"/>
        </w:rPr>
        <w:fldChar w:fldCharType="separate"/>
      </w:r>
      <w:r w:rsidRPr="00E42757">
        <w:rPr>
          <w:rFonts w:ascii="Arial" w:hAnsi="Arial" w:cs="Arial"/>
          <w:sz w:val="20"/>
          <w:szCs w:val="20"/>
        </w:rPr>
        <w:t xml:space="preserve">Table </w:t>
      </w:r>
      <w:r w:rsidRPr="00E42757">
        <w:rPr>
          <w:rFonts w:ascii="Arial" w:hAnsi="Arial" w:cs="Arial"/>
          <w:noProof/>
          <w:sz w:val="20"/>
          <w:szCs w:val="20"/>
        </w:rPr>
        <w:t>9</w:t>
      </w:r>
      <w:r w:rsidRPr="00E42757">
        <w:rPr>
          <w:rFonts w:ascii="Arial" w:hAnsi="Arial" w:cs="Arial"/>
          <w:sz w:val="20"/>
          <w:szCs w:val="20"/>
        </w:rPr>
        <w:t xml:space="preserve"> – Base Case Technology Percentage Mix</w:t>
      </w:r>
      <w:r w:rsidRPr="1AA8F051">
        <w:fldChar w:fldCharType="end"/>
      </w:r>
      <w:r w:rsidRPr="00E42757">
        <w:rPr>
          <w:rFonts w:ascii="Arial" w:hAnsi="Arial" w:cs="Arial"/>
          <w:sz w:val="20"/>
          <w:szCs w:val="20"/>
        </w:rPr>
        <w:t>.</w:t>
      </w:r>
    </w:p>
    <w:p w14:paraId="0BD84F8A" w14:textId="77777777" w:rsidR="00E42757" w:rsidRDefault="00E42757" w:rsidP="0049120B">
      <w:pPr>
        <w:rPr>
          <w:rFonts w:ascii="Arial" w:hAnsi="Arial" w:cs="Arial"/>
          <w:b/>
          <w:sz w:val="20"/>
          <w:szCs w:val="20"/>
        </w:rPr>
      </w:pPr>
    </w:p>
    <w:p w14:paraId="7C206F7E" w14:textId="1C00116D" w:rsidR="0049120B" w:rsidRDefault="00130C40" w:rsidP="0049120B">
      <w:pPr>
        <w:rPr>
          <w:rFonts w:ascii="Arial" w:hAnsi="Arial"/>
          <w:sz w:val="20"/>
        </w:rPr>
      </w:pPr>
      <w:r w:rsidRPr="00130C40">
        <w:rPr>
          <w:rFonts w:ascii="Arial" w:hAnsi="Arial" w:cs="Arial"/>
          <w:b/>
          <w:sz w:val="20"/>
          <w:szCs w:val="20"/>
        </w:rPr>
        <w:t>Linear Fluorescent:</w:t>
      </w:r>
      <w:r>
        <w:rPr>
          <w:rFonts w:ascii="Arial" w:hAnsi="Arial" w:cs="Arial"/>
          <w:sz w:val="20"/>
          <w:szCs w:val="20"/>
        </w:rPr>
        <w:t xml:space="preserve">  Costs for linear fluorescent came</w:t>
      </w:r>
      <w:r w:rsidR="00EC111A">
        <w:rPr>
          <w:rFonts w:ascii="Arial" w:hAnsi="Arial"/>
          <w:sz w:val="20"/>
        </w:rPr>
        <w:t xml:space="preserve"> from</w:t>
      </w:r>
      <w:r w:rsidR="00EC111A" w:rsidRPr="00130C40">
        <w:rPr>
          <w:rFonts w:ascii="Arial" w:hAnsi="Arial"/>
          <w:sz w:val="20"/>
        </w:rPr>
        <w:t xml:space="preserve"> online fixture vendors, </w:t>
      </w:r>
      <w:r w:rsidR="0049120B" w:rsidRPr="00130C40">
        <w:rPr>
          <w:rFonts w:ascii="Arial" w:hAnsi="Arial"/>
          <w:sz w:val="20"/>
        </w:rPr>
        <w:t xml:space="preserve">and labor costs </w:t>
      </w:r>
      <w:r w:rsidR="0049120B">
        <w:rPr>
          <w:rFonts w:ascii="Arial" w:hAnsi="Arial"/>
          <w:sz w:val="20"/>
        </w:rPr>
        <w:t>were</w:t>
      </w:r>
      <w:r w:rsidR="0049120B" w:rsidRPr="00130C40">
        <w:rPr>
          <w:rFonts w:ascii="Arial" w:hAnsi="Arial"/>
          <w:sz w:val="20"/>
        </w:rPr>
        <w:t xml:space="preserve"> calculated using WO017</w:t>
      </w:r>
      <w:r w:rsidR="0049120B" w:rsidRPr="00130C40">
        <w:rPr>
          <w:rStyle w:val="EndnoteReference"/>
          <w:rFonts w:ascii="Arial" w:hAnsi="Arial"/>
          <w:sz w:val="20"/>
        </w:rPr>
        <w:endnoteReference w:id="11"/>
      </w:r>
      <w:r w:rsidR="00EF067E" w:rsidRPr="00130C40">
        <w:rPr>
          <w:rFonts w:ascii="Arial" w:hAnsi="Arial"/>
          <w:sz w:val="20"/>
        </w:rPr>
        <w:t xml:space="preserve">. </w:t>
      </w:r>
      <w:r w:rsidR="0049120B">
        <w:rPr>
          <w:rFonts w:ascii="Arial" w:hAnsi="Arial"/>
          <w:sz w:val="20"/>
        </w:rPr>
        <w:t xml:space="preserve">The labor cost </w:t>
      </w:r>
      <w:r>
        <w:rPr>
          <w:rFonts w:ascii="Arial" w:hAnsi="Arial" w:cs="Arial"/>
          <w:sz w:val="20"/>
          <w:szCs w:val="20"/>
        </w:rPr>
        <w:t xml:space="preserve">used </w:t>
      </w:r>
      <w:r w:rsidR="00BC65D5">
        <w:rPr>
          <w:rFonts w:ascii="Arial" w:hAnsi="Arial" w:cs="Arial"/>
          <w:sz w:val="20"/>
          <w:szCs w:val="20"/>
        </w:rPr>
        <w:t>was</w:t>
      </w:r>
      <w:r w:rsidR="0049120B">
        <w:rPr>
          <w:rFonts w:ascii="Arial" w:hAnsi="Arial"/>
          <w:sz w:val="20"/>
        </w:rPr>
        <w:t xml:space="preserve"> </w:t>
      </w:r>
      <w:r w:rsidR="0049120B" w:rsidRPr="00130C40">
        <w:rPr>
          <w:rFonts w:ascii="Arial" w:hAnsi="Arial"/>
          <w:sz w:val="20"/>
        </w:rPr>
        <w:t>$187</w:t>
      </w:r>
      <w:r w:rsidR="0049120B">
        <w:rPr>
          <w:rFonts w:ascii="Arial" w:hAnsi="Arial"/>
          <w:sz w:val="20"/>
        </w:rPr>
        <w:t>.14.</w:t>
      </w:r>
    </w:p>
    <w:p w14:paraId="04E24E21" w14:textId="21C03E26" w:rsidR="00130C40" w:rsidRDefault="00130C40" w:rsidP="0049120B">
      <w:pPr>
        <w:rPr>
          <w:rFonts w:ascii="Arial" w:hAnsi="Arial" w:cs="Arial"/>
          <w:sz w:val="20"/>
          <w:szCs w:val="20"/>
        </w:rPr>
      </w:pPr>
    </w:p>
    <w:p w14:paraId="362E956B" w14:textId="729A6B02" w:rsidR="005A6D7E" w:rsidRDefault="00130C40" w:rsidP="00130C40">
      <w:pPr>
        <w:rPr>
          <w:rFonts w:ascii="Arial" w:hAnsi="Arial" w:cs="Arial"/>
          <w:sz w:val="20"/>
          <w:szCs w:val="20"/>
        </w:rPr>
      </w:pPr>
      <w:r>
        <w:rPr>
          <w:rFonts w:ascii="Arial" w:hAnsi="Arial" w:cs="Arial"/>
          <w:b/>
          <w:sz w:val="20"/>
          <w:szCs w:val="20"/>
        </w:rPr>
        <w:t>LED</w:t>
      </w:r>
      <w:r w:rsidRPr="00130C40">
        <w:rPr>
          <w:rFonts w:ascii="Arial" w:hAnsi="Arial" w:cs="Arial"/>
          <w:b/>
          <w:sz w:val="20"/>
          <w:szCs w:val="20"/>
        </w:rPr>
        <w:t>:</w:t>
      </w:r>
      <w:r>
        <w:rPr>
          <w:rFonts w:ascii="Arial" w:hAnsi="Arial" w:cs="Arial"/>
          <w:sz w:val="20"/>
          <w:szCs w:val="20"/>
        </w:rPr>
        <w:t xml:space="preserve">  Costs for base case LED came from</w:t>
      </w:r>
      <w:r w:rsidRPr="00130C40">
        <w:rPr>
          <w:rFonts w:ascii="Arial" w:hAnsi="Arial" w:cs="Arial"/>
          <w:sz w:val="20"/>
          <w:szCs w:val="20"/>
        </w:rPr>
        <w:t xml:space="preserve"> </w:t>
      </w:r>
      <w:r>
        <w:rPr>
          <w:rFonts w:ascii="Arial" w:hAnsi="Arial" w:cs="Arial"/>
          <w:sz w:val="20"/>
          <w:szCs w:val="20"/>
        </w:rPr>
        <w:t>PG&amp;E Program Data</w:t>
      </w:r>
      <w:r w:rsidRPr="00130C40">
        <w:rPr>
          <w:rFonts w:ascii="Arial" w:hAnsi="Arial" w:cs="Arial"/>
          <w:sz w:val="20"/>
          <w:szCs w:val="20"/>
        </w:rPr>
        <w:t xml:space="preserve">, and labor costs </w:t>
      </w:r>
      <w:r>
        <w:rPr>
          <w:rFonts w:ascii="Arial" w:hAnsi="Arial" w:cs="Arial"/>
          <w:sz w:val="20"/>
          <w:szCs w:val="20"/>
        </w:rPr>
        <w:t xml:space="preserve">were assumed to be the same as linear fluorescent.  The cost used </w:t>
      </w:r>
      <w:r w:rsidR="00BC65D5">
        <w:rPr>
          <w:rFonts w:ascii="Arial" w:hAnsi="Arial" w:cs="Arial"/>
          <w:sz w:val="20"/>
          <w:szCs w:val="20"/>
        </w:rPr>
        <w:t>was</w:t>
      </w:r>
      <w:r>
        <w:rPr>
          <w:rFonts w:ascii="Arial" w:hAnsi="Arial" w:cs="Arial"/>
          <w:sz w:val="20"/>
          <w:szCs w:val="20"/>
        </w:rPr>
        <w:t xml:space="preserve"> $187.14.</w:t>
      </w:r>
      <w:r w:rsidRPr="00130C40">
        <w:rPr>
          <w:rFonts w:ascii="Arial" w:hAnsi="Arial" w:cs="Arial"/>
          <w:sz w:val="20"/>
          <w:szCs w:val="20"/>
        </w:rPr>
        <w:t xml:space="preserve">  </w:t>
      </w:r>
    </w:p>
    <w:p w14:paraId="29080E1C" w14:textId="15B63895" w:rsidR="0072055A" w:rsidRDefault="0072055A" w:rsidP="00130C40">
      <w:pPr>
        <w:rPr>
          <w:rFonts w:ascii="Arial" w:hAnsi="Arial" w:cs="Arial"/>
          <w:sz w:val="20"/>
          <w:szCs w:val="20"/>
        </w:rPr>
      </w:pPr>
    </w:p>
    <w:p w14:paraId="0AA569B9" w14:textId="485B5B80" w:rsidR="0072055A" w:rsidRPr="0072055A" w:rsidRDefault="0072055A" w:rsidP="00130C40">
      <w:pPr>
        <w:rPr>
          <w:rFonts w:ascii="Arial" w:hAnsi="Arial" w:cs="Arial"/>
          <w:b/>
          <w:sz w:val="20"/>
          <w:szCs w:val="20"/>
          <w:u w:val="single"/>
        </w:rPr>
      </w:pPr>
      <w:r w:rsidRPr="0072055A">
        <w:rPr>
          <w:rFonts w:ascii="Arial" w:hAnsi="Arial" w:cs="Arial"/>
          <w:b/>
          <w:sz w:val="20"/>
          <w:szCs w:val="20"/>
          <w:u w:val="single"/>
        </w:rPr>
        <w:t>Option 3</w:t>
      </w:r>
    </w:p>
    <w:p w14:paraId="73D21131" w14:textId="7A93C63D" w:rsidR="0072055A" w:rsidRDefault="0072055A" w:rsidP="00130C40">
      <w:pPr>
        <w:rPr>
          <w:rFonts w:ascii="Arial" w:hAnsi="Arial" w:cs="Arial"/>
          <w:sz w:val="20"/>
          <w:szCs w:val="20"/>
        </w:rPr>
      </w:pPr>
      <w:r>
        <w:rPr>
          <w:rFonts w:ascii="Arial" w:hAnsi="Arial" w:cs="Arial"/>
          <w:sz w:val="20"/>
          <w:szCs w:val="20"/>
        </w:rPr>
        <w:t>The base case cost is set temporarily at $0.</w:t>
      </w:r>
    </w:p>
    <w:p w14:paraId="036221F3" w14:textId="692D211A" w:rsidR="005910C8" w:rsidRPr="00130C40" w:rsidRDefault="005910C8" w:rsidP="0049120B">
      <w:pPr>
        <w:pStyle w:val="Heading2"/>
        <w:keepLines/>
      </w:pPr>
      <w:bookmarkStart w:id="179" w:name="_Toc511038054"/>
      <w:bookmarkStart w:id="180" w:name="_Toc511244906"/>
      <w:r w:rsidRPr="00130C40">
        <w:t>4.2 Measure</w:t>
      </w:r>
      <w:r w:rsidR="00F44B64" w:rsidRPr="00130C40">
        <w:t xml:space="preserve"> Case</w:t>
      </w:r>
      <w:r w:rsidRPr="00130C40">
        <w:t xml:space="preserve"> Costs</w:t>
      </w:r>
      <w:bookmarkEnd w:id="179"/>
      <w:bookmarkEnd w:id="180"/>
    </w:p>
    <w:p w14:paraId="6DC7FA9B" w14:textId="77777777" w:rsidR="0072055A" w:rsidRPr="0072055A" w:rsidRDefault="0072055A" w:rsidP="0072055A">
      <w:pPr>
        <w:rPr>
          <w:rFonts w:ascii="Arial" w:hAnsi="Arial" w:cs="Arial"/>
          <w:b/>
          <w:sz w:val="20"/>
          <w:szCs w:val="20"/>
          <w:u w:val="single"/>
        </w:rPr>
      </w:pPr>
      <w:r w:rsidRPr="0072055A">
        <w:rPr>
          <w:rFonts w:ascii="Arial" w:hAnsi="Arial" w:cs="Arial"/>
          <w:b/>
          <w:sz w:val="20"/>
          <w:szCs w:val="20"/>
          <w:u w:val="single"/>
        </w:rPr>
        <w:t>Option 1 and 2</w:t>
      </w:r>
    </w:p>
    <w:p w14:paraId="338DB1DC" w14:textId="2C6EA48C" w:rsidR="00BC65D5" w:rsidRDefault="0049120B" w:rsidP="005910C8">
      <w:pPr>
        <w:rPr>
          <w:rFonts w:ascii="Arial" w:hAnsi="Arial" w:cs="Arial"/>
          <w:sz w:val="20"/>
          <w:szCs w:val="20"/>
        </w:rPr>
      </w:pPr>
      <w:r w:rsidRPr="00130C40">
        <w:rPr>
          <w:rFonts w:ascii="Arial" w:hAnsi="Arial" w:cs="Arial"/>
          <w:sz w:val="20"/>
          <w:szCs w:val="20"/>
        </w:rPr>
        <w:t xml:space="preserve">The measure </w:t>
      </w:r>
      <w:r w:rsidR="00BC65D5">
        <w:rPr>
          <w:rFonts w:ascii="Arial" w:hAnsi="Arial" w:cs="Arial"/>
          <w:sz w:val="20"/>
          <w:szCs w:val="20"/>
        </w:rPr>
        <w:t>material</w:t>
      </w:r>
      <w:r w:rsidRPr="00130C40">
        <w:rPr>
          <w:rFonts w:ascii="Arial" w:hAnsi="Arial" w:cs="Arial"/>
          <w:sz w:val="20"/>
          <w:szCs w:val="20"/>
        </w:rPr>
        <w:t xml:space="preserve"> costs were</w:t>
      </w:r>
      <w:r w:rsidR="00BC65D5">
        <w:rPr>
          <w:rFonts w:ascii="Arial" w:hAnsi="Arial" w:cs="Arial"/>
          <w:sz w:val="20"/>
          <w:szCs w:val="20"/>
        </w:rPr>
        <w:t xml:space="preserve"> based </w:t>
      </w:r>
      <w:r w:rsidR="00A81C79">
        <w:rPr>
          <w:rFonts w:ascii="Arial" w:hAnsi="Arial" w:cs="Arial"/>
          <w:sz w:val="20"/>
          <w:szCs w:val="20"/>
        </w:rPr>
        <w:t>on an average of</w:t>
      </w:r>
      <w:r w:rsidR="00BC65D5">
        <w:rPr>
          <w:rFonts w:ascii="Arial" w:hAnsi="Arial" w:cs="Arial"/>
          <w:sz w:val="20"/>
          <w:szCs w:val="20"/>
        </w:rPr>
        <w:t xml:space="preserve"> PG&amp;E program data</w:t>
      </w:r>
      <w:r w:rsidR="00A81C79">
        <w:rPr>
          <w:rFonts w:ascii="Arial" w:hAnsi="Arial" w:cs="Arial"/>
          <w:sz w:val="20"/>
          <w:szCs w:val="20"/>
        </w:rPr>
        <w:t xml:space="preserve"> depending on the DLC reported wattage</w:t>
      </w:r>
      <w:r w:rsidR="00BC65D5">
        <w:rPr>
          <w:rFonts w:ascii="Arial" w:hAnsi="Arial" w:cs="Arial"/>
          <w:sz w:val="20"/>
          <w:szCs w:val="20"/>
        </w:rPr>
        <w:t xml:space="preserve">.  These prices were compared to SCE program data </w:t>
      </w:r>
      <w:r w:rsidR="00A81C79">
        <w:rPr>
          <w:rFonts w:ascii="Arial" w:hAnsi="Arial" w:cs="Arial"/>
          <w:sz w:val="20"/>
          <w:szCs w:val="20"/>
        </w:rPr>
        <w:t xml:space="preserve">and to the Navigant pricing.  </w:t>
      </w:r>
    </w:p>
    <w:p w14:paraId="01986402" w14:textId="77777777" w:rsidR="00E92CE3" w:rsidRPr="00130C40" w:rsidRDefault="00E92CE3" w:rsidP="005910C8">
      <w:pPr>
        <w:rPr>
          <w:rFonts w:ascii="Arial" w:hAnsi="Arial"/>
          <w:sz w:val="20"/>
        </w:rPr>
      </w:pPr>
    </w:p>
    <w:p w14:paraId="75F1E757" w14:textId="70653E5B" w:rsidR="00B87D48" w:rsidRPr="00130C40" w:rsidRDefault="00B87D48" w:rsidP="005910C8">
      <w:pPr>
        <w:rPr>
          <w:rFonts w:ascii="Arial" w:hAnsi="Arial"/>
          <w:sz w:val="20"/>
        </w:rPr>
      </w:pPr>
      <w:r w:rsidRPr="00130C40">
        <w:rPr>
          <w:rFonts w:ascii="Arial" w:hAnsi="Arial"/>
          <w:sz w:val="20"/>
        </w:rPr>
        <w:t xml:space="preserve">The quantity of fixture sales in each application (for downstream program data) is not factored in the weighted average. </w:t>
      </w:r>
      <w:r w:rsidR="00E92CE3" w:rsidRPr="00130C40">
        <w:rPr>
          <w:rFonts w:ascii="Arial" w:hAnsi="Arial"/>
          <w:sz w:val="20"/>
        </w:rPr>
        <w:t>Instead, weighted</w:t>
      </w:r>
      <w:r w:rsidRPr="00130C40">
        <w:rPr>
          <w:rFonts w:ascii="Arial" w:hAnsi="Arial"/>
          <w:sz w:val="20"/>
        </w:rPr>
        <w:t xml:space="preserve"> average is done based on the number of price points recorded in each of the measure range. </w:t>
      </w:r>
    </w:p>
    <w:p w14:paraId="5AC70E16" w14:textId="77777777" w:rsidR="00B87D48" w:rsidRPr="00130C40" w:rsidRDefault="00B87D48" w:rsidP="005910C8">
      <w:pPr>
        <w:rPr>
          <w:rFonts w:ascii="Arial" w:hAnsi="Arial"/>
          <w:sz w:val="20"/>
        </w:rPr>
      </w:pPr>
    </w:p>
    <w:p w14:paraId="66BD0D6A" w14:textId="4F89B8C2" w:rsidR="00DF0993" w:rsidRDefault="00EC111A" w:rsidP="005910C8">
      <w:pPr>
        <w:rPr>
          <w:rFonts w:ascii="Arial" w:hAnsi="Arial"/>
          <w:sz w:val="20"/>
        </w:rPr>
      </w:pPr>
      <w:r w:rsidRPr="00130C40">
        <w:rPr>
          <w:rFonts w:ascii="Arial" w:hAnsi="Arial"/>
          <w:sz w:val="20"/>
        </w:rPr>
        <w:t>T</w:t>
      </w:r>
      <w:r w:rsidR="0049120B" w:rsidRPr="00130C40">
        <w:rPr>
          <w:rFonts w:ascii="Arial" w:hAnsi="Arial"/>
          <w:sz w:val="20"/>
        </w:rPr>
        <w:t xml:space="preserve">he labor cost is </w:t>
      </w:r>
      <w:r w:rsidR="00A81C79">
        <w:rPr>
          <w:rFonts w:ascii="Arial" w:hAnsi="Arial" w:cs="Arial"/>
          <w:sz w:val="20"/>
          <w:szCs w:val="20"/>
        </w:rPr>
        <w:t xml:space="preserve">assumed to be </w:t>
      </w:r>
      <w:r w:rsidR="0049120B" w:rsidRPr="00130C40">
        <w:rPr>
          <w:rFonts w:ascii="Arial" w:hAnsi="Arial"/>
          <w:sz w:val="20"/>
        </w:rPr>
        <w:t>the same as the base case labor cost.</w:t>
      </w:r>
    </w:p>
    <w:p w14:paraId="7181B866" w14:textId="77777777" w:rsidR="0072055A" w:rsidRPr="00130C40" w:rsidRDefault="0072055A" w:rsidP="005910C8">
      <w:pPr>
        <w:rPr>
          <w:rFonts w:ascii="Arial" w:hAnsi="Arial"/>
          <w:sz w:val="20"/>
        </w:rPr>
      </w:pPr>
    </w:p>
    <w:p w14:paraId="15C48938" w14:textId="77777777" w:rsidR="0072055A" w:rsidRPr="0072055A" w:rsidRDefault="0072055A" w:rsidP="0072055A">
      <w:pPr>
        <w:rPr>
          <w:rFonts w:ascii="Arial" w:hAnsi="Arial" w:cs="Arial"/>
          <w:b/>
          <w:sz w:val="20"/>
          <w:szCs w:val="20"/>
          <w:u w:val="single"/>
        </w:rPr>
      </w:pPr>
      <w:r w:rsidRPr="0072055A">
        <w:rPr>
          <w:rFonts w:ascii="Arial" w:hAnsi="Arial" w:cs="Arial"/>
          <w:b/>
          <w:sz w:val="20"/>
          <w:szCs w:val="20"/>
          <w:u w:val="single"/>
        </w:rPr>
        <w:lastRenderedPageBreak/>
        <w:t>Option 3</w:t>
      </w:r>
    </w:p>
    <w:p w14:paraId="1182ADCB" w14:textId="56BBA057" w:rsidR="00B87D48" w:rsidRPr="0072055A" w:rsidRDefault="0072055A" w:rsidP="005910C8">
      <w:pPr>
        <w:rPr>
          <w:rFonts w:ascii="Arial" w:hAnsi="Arial" w:cs="Arial"/>
          <w:sz w:val="20"/>
          <w:szCs w:val="20"/>
        </w:rPr>
      </w:pPr>
      <w:r w:rsidRPr="0072055A">
        <w:rPr>
          <w:rFonts w:ascii="Arial" w:hAnsi="Arial" w:cs="Arial"/>
          <w:sz w:val="20"/>
          <w:szCs w:val="20"/>
        </w:rPr>
        <w:t>The measure case cost is set equal to the incremental measure costs.</w:t>
      </w:r>
    </w:p>
    <w:p w14:paraId="7DB886CD" w14:textId="3658499B" w:rsidR="0030550A" w:rsidRDefault="0030550A" w:rsidP="006666F0">
      <w:pPr>
        <w:pStyle w:val="Heading2"/>
        <w:keepLines/>
        <w:numPr>
          <w:ilvl w:val="1"/>
          <w:numId w:val="8"/>
        </w:numPr>
        <w:ind w:left="0" w:hanging="15"/>
      </w:pPr>
      <w:bookmarkStart w:id="181" w:name="_Toc511038055"/>
      <w:bookmarkStart w:id="182" w:name="_Toc511244907"/>
      <w:r w:rsidRPr="00130C40">
        <w:t>Incremental &amp; Full Measure Costs</w:t>
      </w:r>
      <w:bookmarkEnd w:id="181"/>
      <w:bookmarkEnd w:id="182"/>
    </w:p>
    <w:p w14:paraId="25A0EC75" w14:textId="77777777" w:rsidR="006666F0" w:rsidRPr="006666F0" w:rsidRDefault="006666F0" w:rsidP="006666F0">
      <w:pPr>
        <w:rPr>
          <w:rFonts w:ascii="Arial" w:hAnsi="Arial" w:cs="Arial"/>
          <w:b/>
          <w:sz w:val="20"/>
          <w:szCs w:val="20"/>
          <w:u w:val="single"/>
        </w:rPr>
      </w:pPr>
      <w:r w:rsidRPr="006666F0">
        <w:rPr>
          <w:rFonts w:ascii="Arial" w:hAnsi="Arial" w:cs="Arial"/>
          <w:b/>
          <w:sz w:val="20"/>
          <w:szCs w:val="20"/>
          <w:u w:val="single"/>
        </w:rPr>
        <w:t>Option 1 and 2</w:t>
      </w:r>
    </w:p>
    <w:p w14:paraId="634DCCF1" w14:textId="5E1F7A90" w:rsidR="0072055A" w:rsidRPr="006666F0" w:rsidRDefault="006666F0" w:rsidP="0072055A">
      <w:pPr>
        <w:rPr>
          <w:rFonts w:ascii="Arial" w:hAnsi="Arial" w:cs="Arial"/>
          <w:sz w:val="20"/>
          <w:szCs w:val="20"/>
        </w:rPr>
      </w:pPr>
      <w:r w:rsidRPr="006666F0">
        <w:rPr>
          <w:rFonts w:ascii="Arial" w:hAnsi="Arial" w:cs="Arial"/>
          <w:sz w:val="20"/>
          <w:szCs w:val="20"/>
        </w:rPr>
        <w:t xml:space="preserve">Establishing prices for each measure code presented a challenge, given the wide range of price, quality, and product characteristic in the </w:t>
      </w:r>
      <w:r>
        <w:rPr>
          <w:rFonts w:ascii="Arial" w:hAnsi="Arial" w:cs="Arial"/>
          <w:sz w:val="20"/>
          <w:szCs w:val="20"/>
        </w:rPr>
        <w:t>high/low bay</w:t>
      </w:r>
      <w:r w:rsidRPr="006666F0">
        <w:rPr>
          <w:rFonts w:ascii="Arial" w:hAnsi="Arial" w:cs="Arial"/>
          <w:sz w:val="20"/>
          <w:szCs w:val="20"/>
        </w:rPr>
        <w:t xml:space="preserve"> lighting market. The general approach used was to gather prices widely and look at overall trends in price</w:t>
      </w:r>
      <w:r>
        <w:rPr>
          <w:rFonts w:ascii="Arial" w:hAnsi="Arial" w:cs="Arial"/>
          <w:sz w:val="20"/>
          <w:szCs w:val="20"/>
        </w:rPr>
        <w:t>.</w:t>
      </w:r>
    </w:p>
    <w:p w14:paraId="1752644A" w14:textId="0A63BE9D" w:rsidR="006666F0" w:rsidRDefault="006666F0" w:rsidP="0072055A"/>
    <w:p w14:paraId="04BDF24B" w14:textId="77777777" w:rsidR="006666F0" w:rsidRPr="0072055A" w:rsidRDefault="006666F0" w:rsidP="006666F0">
      <w:pPr>
        <w:rPr>
          <w:rFonts w:ascii="Arial" w:hAnsi="Arial" w:cs="Arial"/>
          <w:b/>
          <w:sz w:val="20"/>
          <w:szCs w:val="20"/>
          <w:u w:val="single"/>
        </w:rPr>
      </w:pPr>
      <w:r w:rsidRPr="0072055A">
        <w:rPr>
          <w:rFonts w:ascii="Arial" w:hAnsi="Arial" w:cs="Arial"/>
          <w:b/>
          <w:sz w:val="20"/>
          <w:szCs w:val="20"/>
          <w:u w:val="single"/>
        </w:rPr>
        <w:t>Option 3</w:t>
      </w:r>
    </w:p>
    <w:p w14:paraId="0604C7C5" w14:textId="0854409B" w:rsidR="006666F0" w:rsidRPr="0072055A" w:rsidRDefault="006666F0" w:rsidP="006666F0">
      <w:pPr>
        <w:rPr>
          <w:rFonts w:ascii="Arial" w:hAnsi="Arial" w:cs="Arial"/>
          <w:sz w:val="20"/>
          <w:szCs w:val="20"/>
        </w:rPr>
      </w:pPr>
      <w:r w:rsidRPr="0072055A">
        <w:rPr>
          <w:rFonts w:ascii="Arial" w:hAnsi="Arial" w:cs="Arial"/>
          <w:sz w:val="20"/>
          <w:szCs w:val="20"/>
        </w:rPr>
        <w:t xml:space="preserve">The </w:t>
      </w:r>
      <w:r>
        <w:rPr>
          <w:rFonts w:ascii="Arial" w:hAnsi="Arial" w:cs="Arial"/>
          <w:sz w:val="20"/>
          <w:szCs w:val="20"/>
        </w:rPr>
        <w:t>incremental measure cost is set to 110% of the rebate amount</w:t>
      </w:r>
      <w:r w:rsidRPr="0072055A">
        <w:rPr>
          <w:rFonts w:ascii="Arial" w:hAnsi="Arial" w:cs="Arial"/>
          <w:sz w:val="20"/>
          <w:szCs w:val="20"/>
        </w:rPr>
        <w:t>.</w:t>
      </w:r>
    </w:p>
    <w:p w14:paraId="3BEED4CE" w14:textId="77777777" w:rsidR="006666F0" w:rsidRPr="0072055A" w:rsidRDefault="006666F0" w:rsidP="0072055A"/>
    <w:p w14:paraId="2B186ADF" w14:textId="41DE9F2D" w:rsidR="005E1ACB" w:rsidRPr="00A81C79" w:rsidRDefault="00A57045" w:rsidP="00A57045">
      <w:pPr>
        <w:pStyle w:val="Caption"/>
        <w:jc w:val="center"/>
      </w:pPr>
      <w:bookmarkStart w:id="183" w:name="_Toc511038020"/>
      <w:bookmarkStart w:id="184" w:name="_Toc511244285"/>
      <w:bookmarkStart w:id="185" w:name="_Toc511244310"/>
      <w:bookmarkStart w:id="186" w:name="_Toc511244929"/>
      <w:r w:rsidRPr="006666F0">
        <w:t xml:space="preserve">Table </w:t>
      </w:r>
      <w:r w:rsidR="00C426D4">
        <w:fldChar w:fldCharType="begin"/>
      </w:r>
      <w:r w:rsidR="00C426D4">
        <w:instrText xml:space="preserve"> SEQ Table \* ARABIC </w:instrText>
      </w:r>
      <w:r w:rsidR="00C426D4">
        <w:fldChar w:fldCharType="separate"/>
      </w:r>
      <w:r w:rsidR="00E94C25">
        <w:rPr>
          <w:noProof/>
        </w:rPr>
        <w:t>20</w:t>
      </w:r>
      <w:r w:rsidR="00C426D4">
        <w:rPr>
          <w:noProof/>
        </w:rPr>
        <w:fldChar w:fldCharType="end"/>
      </w:r>
      <w:r w:rsidR="003E20DB" w:rsidRPr="006666F0">
        <w:t xml:space="preserve"> - </w:t>
      </w:r>
      <w:r w:rsidRPr="006666F0">
        <w:t>Incremental</w:t>
      </w:r>
      <w:r w:rsidRPr="00A81C79">
        <w:t xml:space="preserve"> and Full Measure Cost Equations</w:t>
      </w:r>
      <w:bookmarkEnd w:id="183"/>
      <w:bookmarkEnd w:id="184"/>
      <w:bookmarkEnd w:id="185"/>
      <w:bookmarkEnd w:id="186"/>
    </w:p>
    <w:tbl>
      <w:tblPr>
        <w:tblStyle w:val="TableGrid1"/>
        <w:tblW w:w="5000" w:type="pct"/>
        <w:tblLook w:val="01E0" w:firstRow="1" w:lastRow="1" w:firstColumn="1" w:lastColumn="1" w:noHBand="0" w:noVBand="0"/>
      </w:tblPr>
      <w:tblGrid>
        <w:gridCol w:w="1286"/>
        <w:gridCol w:w="2764"/>
        <w:gridCol w:w="2674"/>
        <w:gridCol w:w="2852"/>
      </w:tblGrid>
      <w:tr w:rsidR="0049120B" w:rsidRPr="009842A2" w14:paraId="7B2B29CD" w14:textId="77777777" w:rsidTr="00EC7216">
        <w:tc>
          <w:tcPr>
            <w:tcW w:w="671" w:type="pct"/>
            <w:vMerge w:val="restart"/>
            <w:shd w:val="clear" w:color="auto" w:fill="D9D9D9" w:themeFill="background1" w:themeFillShade="D9"/>
          </w:tcPr>
          <w:p w14:paraId="62C8C55A" w14:textId="77777777" w:rsidR="0049120B" w:rsidRPr="00A81C79" w:rsidRDefault="0049120B" w:rsidP="00EC7216">
            <w:pPr>
              <w:rPr>
                <w:rFonts w:ascii="Arial" w:hAnsi="Arial"/>
                <w:b/>
                <w:sz w:val="20"/>
              </w:rPr>
            </w:pPr>
            <w:bookmarkStart w:id="187" w:name="_Toc383697822"/>
            <w:r w:rsidRPr="00A81C79">
              <w:rPr>
                <w:rFonts w:ascii="Arial" w:hAnsi="Arial"/>
                <w:b/>
                <w:sz w:val="20"/>
              </w:rPr>
              <w:t>Installation Type</w:t>
            </w:r>
          </w:p>
        </w:tc>
        <w:tc>
          <w:tcPr>
            <w:tcW w:w="1443" w:type="pct"/>
            <w:vMerge w:val="restart"/>
            <w:shd w:val="clear" w:color="auto" w:fill="D9D9D9" w:themeFill="background1" w:themeFillShade="D9"/>
          </w:tcPr>
          <w:p w14:paraId="4B47ED74" w14:textId="77777777" w:rsidR="0049120B" w:rsidRPr="00A81C79" w:rsidRDefault="0049120B" w:rsidP="00EC7216">
            <w:pPr>
              <w:rPr>
                <w:rFonts w:ascii="Arial" w:hAnsi="Arial"/>
                <w:b/>
                <w:sz w:val="20"/>
              </w:rPr>
            </w:pPr>
            <w:r w:rsidRPr="00A81C79">
              <w:rPr>
                <w:rFonts w:ascii="Arial" w:hAnsi="Arial"/>
                <w:b/>
                <w:sz w:val="20"/>
              </w:rPr>
              <w:t>Incremental Measure Cost</w:t>
            </w:r>
          </w:p>
        </w:tc>
        <w:tc>
          <w:tcPr>
            <w:tcW w:w="2885" w:type="pct"/>
            <w:gridSpan w:val="2"/>
            <w:shd w:val="clear" w:color="auto" w:fill="D9D9D9" w:themeFill="background1" w:themeFillShade="D9"/>
          </w:tcPr>
          <w:p w14:paraId="216D5A3A" w14:textId="77777777" w:rsidR="0049120B" w:rsidRPr="00A81C79" w:rsidRDefault="0049120B" w:rsidP="00EC7216">
            <w:pPr>
              <w:rPr>
                <w:rFonts w:ascii="Arial" w:hAnsi="Arial"/>
                <w:b/>
                <w:sz w:val="20"/>
              </w:rPr>
            </w:pPr>
            <w:r w:rsidRPr="00A81C79">
              <w:rPr>
                <w:rFonts w:ascii="Arial" w:hAnsi="Arial"/>
                <w:b/>
                <w:sz w:val="20"/>
              </w:rPr>
              <w:t>Full Measure Cost</w:t>
            </w:r>
          </w:p>
        </w:tc>
      </w:tr>
      <w:tr w:rsidR="0049120B" w:rsidRPr="009842A2" w14:paraId="19EC1FC6" w14:textId="77777777" w:rsidTr="00EC7216">
        <w:tc>
          <w:tcPr>
            <w:tcW w:w="671" w:type="pct"/>
            <w:vMerge/>
            <w:shd w:val="clear" w:color="auto" w:fill="D9D9D9" w:themeFill="background1" w:themeFillShade="D9"/>
          </w:tcPr>
          <w:p w14:paraId="41EF894B" w14:textId="77777777" w:rsidR="0049120B" w:rsidRPr="00A81C79" w:rsidRDefault="0049120B" w:rsidP="00EC7216">
            <w:pPr>
              <w:rPr>
                <w:rFonts w:ascii="Arial" w:hAnsi="Arial"/>
                <w:b/>
                <w:sz w:val="20"/>
              </w:rPr>
            </w:pPr>
          </w:p>
        </w:tc>
        <w:tc>
          <w:tcPr>
            <w:tcW w:w="1443" w:type="pct"/>
            <w:vMerge/>
            <w:shd w:val="clear" w:color="auto" w:fill="D9D9D9" w:themeFill="background1" w:themeFillShade="D9"/>
          </w:tcPr>
          <w:p w14:paraId="1D72EAC6" w14:textId="77777777" w:rsidR="0049120B" w:rsidRPr="00A81C79" w:rsidRDefault="0049120B" w:rsidP="00EC7216">
            <w:pPr>
              <w:rPr>
                <w:rFonts w:ascii="Arial" w:hAnsi="Arial"/>
                <w:b/>
                <w:sz w:val="20"/>
              </w:rPr>
            </w:pPr>
          </w:p>
        </w:tc>
        <w:tc>
          <w:tcPr>
            <w:tcW w:w="1396" w:type="pct"/>
            <w:shd w:val="clear" w:color="auto" w:fill="F2F2F2" w:themeFill="background1" w:themeFillShade="F2"/>
          </w:tcPr>
          <w:p w14:paraId="5CA57051" w14:textId="77777777" w:rsidR="0049120B" w:rsidRPr="00A81C79" w:rsidRDefault="0049120B" w:rsidP="00EC7216">
            <w:pPr>
              <w:rPr>
                <w:rFonts w:ascii="Arial" w:hAnsi="Arial"/>
                <w:b/>
                <w:sz w:val="20"/>
              </w:rPr>
            </w:pPr>
            <w:r w:rsidRPr="00A81C79">
              <w:rPr>
                <w:rFonts w:ascii="Arial" w:hAnsi="Arial"/>
                <w:b/>
                <w:sz w:val="20"/>
              </w:rPr>
              <w:t>1</w:t>
            </w:r>
            <w:r w:rsidRPr="00A81C79">
              <w:rPr>
                <w:rFonts w:ascii="Arial" w:hAnsi="Arial"/>
                <w:b/>
                <w:sz w:val="20"/>
                <w:vertAlign w:val="superscript"/>
              </w:rPr>
              <w:t>st</w:t>
            </w:r>
            <w:r w:rsidRPr="00A81C79">
              <w:rPr>
                <w:rFonts w:ascii="Arial" w:hAnsi="Arial"/>
                <w:b/>
                <w:sz w:val="20"/>
              </w:rPr>
              <w:t xml:space="preserve"> Baseline</w:t>
            </w:r>
          </w:p>
        </w:tc>
        <w:tc>
          <w:tcPr>
            <w:tcW w:w="1489" w:type="pct"/>
            <w:shd w:val="clear" w:color="auto" w:fill="F2F2F2" w:themeFill="background1" w:themeFillShade="F2"/>
          </w:tcPr>
          <w:p w14:paraId="51D2AAB7" w14:textId="77777777" w:rsidR="0049120B" w:rsidRPr="00A81C79" w:rsidRDefault="0049120B" w:rsidP="00EC7216">
            <w:pPr>
              <w:rPr>
                <w:rFonts w:ascii="Arial" w:hAnsi="Arial"/>
                <w:b/>
                <w:sz w:val="20"/>
              </w:rPr>
            </w:pPr>
            <w:r w:rsidRPr="00A81C79">
              <w:rPr>
                <w:rFonts w:ascii="Arial" w:hAnsi="Arial"/>
                <w:b/>
                <w:sz w:val="20"/>
              </w:rPr>
              <w:t>2</w:t>
            </w:r>
            <w:r w:rsidRPr="00A81C79">
              <w:rPr>
                <w:rFonts w:ascii="Arial" w:hAnsi="Arial"/>
                <w:b/>
                <w:sz w:val="20"/>
                <w:vertAlign w:val="superscript"/>
              </w:rPr>
              <w:t>nd</w:t>
            </w:r>
            <w:r w:rsidRPr="00A81C79">
              <w:rPr>
                <w:rFonts w:ascii="Arial" w:hAnsi="Arial"/>
                <w:b/>
                <w:sz w:val="20"/>
              </w:rPr>
              <w:t xml:space="preserve"> Baseline</w:t>
            </w:r>
          </w:p>
        </w:tc>
      </w:tr>
      <w:tr w:rsidR="0049120B" w:rsidRPr="009842A2" w14:paraId="31BFAEA3" w14:textId="77777777" w:rsidTr="00EC7216">
        <w:tc>
          <w:tcPr>
            <w:tcW w:w="671" w:type="pct"/>
          </w:tcPr>
          <w:p w14:paraId="128BBAFC" w14:textId="77777777" w:rsidR="0049120B" w:rsidRPr="00A81C79" w:rsidRDefault="0049120B" w:rsidP="00EC7216">
            <w:pPr>
              <w:rPr>
                <w:rFonts w:ascii="Arial" w:hAnsi="Arial"/>
                <w:sz w:val="20"/>
              </w:rPr>
            </w:pPr>
            <w:r w:rsidRPr="00A81C79">
              <w:rPr>
                <w:rFonts w:ascii="Arial" w:hAnsi="Arial"/>
                <w:sz w:val="20"/>
              </w:rPr>
              <w:t>ROB</w:t>
            </w:r>
          </w:p>
        </w:tc>
        <w:tc>
          <w:tcPr>
            <w:tcW w:w="1443" w:type="pct"/>
            <w:vMerge w:val="restart"/>
          </w:tcPr>
          <w:p w14:paraId="1591170A" w14:textId="77777777" w:rsidR="0049120B" w:rsidRPr="00A81C79" w:rsidRDefault="0049120B" w:rsidP="00EC7216">
            <w:pPr>
              <w:rPr>
                <w:rFonts w:ascii="Arial" w:hAnsi="Arial"/>
                <w:sz w:val="20"/>
              </w:rPr>
            </w:pPr>
            <w:r w:rsidRPr="00A81C79">
              <w:rPr>
                <w:rFonts w:ascii="Arial" w:hAnsi="Arial"/>
                <w:sz w:val="20"/>
              </w:rPr>
              <w:t>(MEC + MLC) – (BEC + BLC)</w:t>
            </w:r>
          </w:p>
        </w:tc>
        <w:tc>
          <w:tcPr>
            <w:tcW w:w="1396" w:type="pct"/>
            <w:vMerge w:val="restart"/>
          </w:tcPr>
          <w:p w14:paraId="7A2D84AA" w14:textId="77777777" w:rsidR="0049120B" w:rsidRPr="00A81C79" w:rsidRDefault="0049120B" w:rsidP="00EC7216">
            <w:pPr>
              <w:rPr>
                <w:rFonts w:ascii="Arial" w:hAnsi="Arial"/>
                <w:sz w:val="20"/>
              </w:rPr>
            </w:pPr>
            <w:r w:rsidRPr="00A81C79">
              <w:rPr>
                <w:rFonts w:ascii="Arial" w:hAnsi="Arial"/>
                <w:sz w:val="20"/>
              </w:rPr>
              <w:t>(MEC + MLC) – (BEC + BLC)</w:t>
            </w:r>
          </w:p>
        </w:tc>
        <w:tc>
          <w:tcPr>
            <w:tcW w:w="1489" w:type="pct"/>
            <w:vMerge w:val="restart"/>
          </w:tcPr>
          <w:p w14:paraId="3F476A24" w14:textId="77777777" w:rsidR="0049120B" w:rsidRPr="00A81C79" w:rsidRDefault="0049120B" w:rsidP="00EC7216">
            <w:pPr>
              <w:rPr>
                <w:rFonts w:ascii="Arial" w:hAnsi="Arial"/>
                <w:sz w:val="20"/>
              </w:rPr>
            </w:pPr>
            <w:r w:rsidRPr="00A81C79">
              <w:rPr>
                <w:rFonts w:ascii="Arial" w:hAnsi="Arial"/>
                <w:sz w:val="20"/>
              </w:rPr>
              <w:t>N/A</w:t>
            </w:r>
          </w:p>
        </w:tc>
      </w:tr>
      <w:tr w:rsidR="0049120B" w:rsidRPr="009842A2" w14:paraId="06D05D78" w14:textId="77777777" w:rsidTr="00EC7216">
        <w:tc>
          <w:tcPr>
            <w:tcW w:w="671" w:type="pct"/>
          </w:tcPr>
          <w:p w14:paraId="219B689A" w14:textId="77777777" w:rsidR="0049120B" w:rsidRPr="00A81C79" w:rsidRDefault="0049120B" w:rsidP="00EC7216">
            <w:pPr>
              <w:rPr>
                <w:rFonts w:ascii="Arial" w:hAnsi="Arial"/>
                <w:sz w:val="20"/>
              </w:rPr>
            </w:pPr>
            <w:r w:rsidRPr="00A81C79">
              <w:rPr>
                <w:rFonts w:ascii="Arial" w:hAnsi="Arial"/>
                <w:sz w:val="20"/>
              </w:rPr>
              <w:t>NEW/NC</w:t>
            </w:r>
          </w:p>
        </w:tc>
        <w:tc>
          <w:tcPr>
            <w:tcW w:w="1443" w:type="pct"/>
            <w:vMerge/>
          </w:tcPr>
          <w:p w14:paraId="62089710" w14:textId="77777777" w:rsidR="0049120B" w:rsidRPr="00A81C79" w:rsidRDefault="0049120B" w:rsidP="00EC7216">
            <w:pPr>
              <w:rPr>
                <w:rFonts w:ascii="Arial" w:hAnsi="Arial"/>
                <w:sz w:val="20"/>
              </w:rPr>
            </w:pPr>
          </w:p>
        </w:tc>
        <w:tc>
          <w:tcPr>
            <w:tcW w:w="1396" w:type="pct"/>
            <w:vMerge/>
          </w:tcPr>
          <w:p w14:paraId="7E9826B6" w14:textId="77777777" w:rsidR="0049120B" w:rsidRPr="00A81C79" w:rsidRDefault="0049120B" w:rsidP="00EC7216">
            <w:pPr>
              <w:rPr>
                <w:rFonts w:ascii="Arial" w:hAnsi="Arial"/>
                <w:sz w:val="20"/>
              </w:rPr>
            </w:pPr>
          </w:p>
        </w:tc>
        <w:tc>
          <w:tcPr>
            <w:tcW w:w="1489" w:type="pct"/>
            <w:vMerge/>
          </w:tcPr>
          <w:p w14:paraId="2E121585" w14:textId="77777777" w:rsidR="0049120B" w:rsidRPr="00A81C79" w:rsidRDefault="0049120B" w:rsidP="00EC7216">
            <w:pPr>
              <w:rPr>
                <w:rFonts w:ascii="Arial" w:hAnsi="Arial"/>
                <w:sz w:val="20"/>
              </w:rPr>
            </w:pPr>
          </w:p>
        </w:tc>
      </w:tr>
      <w:tr w:rsidR="0049120B" w:rsidRPr="009842A2" w14:paraId="3FD861EE" w14:textId="77777777" w:rsidTr="00EC7216">
        <w:tc>
          <w:tcPr>
            <w:tcW w:w="671" w:type="pct"/>
          </w:tcPr>
          <w:p w14:paraId="029E8962" w14:textId="77777777" w:rsidR="0049120B" w:rsidRPr="00A81C79" w:rsidRDefault="0049120B" w:rsidP="00EC7216">
            <w:pPr>
              <w:rPr>
                <w:rFonts w:ascii="Arial" w:hAnsi="Arial"/>
                <w:sz w:val="20"/>
              </w:rPr>
            </w:pPr>
            <w:r w:rsidRPr="00A81C79">
              <w:rPr>
                <w:rFonts w:ascii="Arial" w:hAnsi="Arial"/>
                <w:sz w:val="20"/>
              </w:rPr>
              <w:t>RET/ER</w:t>
            </w:r>
          </w:p>
        </w:tc>
        <w:tc>
          <w:tcPr>
            <w:tcW w:w="1443" w:type="pct"/>
          </w:tcPr>
          <w:p w14:paraId="17091E57" w14:textId="77777777" w:rsidR="0049120B" w:rsidRPr="00A81C79" w:rsidRDefault="0049120B" w:rsidP="00EC7216">
            <w:pPr>
              <w:rPr>
                <w:rFonts w:ascii="Arial" w:hAnsi="Arial"/>
                <w:sz w:val="20"/>
              </w:rPr>
            </w:pPr>
            <w:r w:rsidRPr="00A81C79">
              <w:rPr>
                <w:rFonts w:ascii="Arial" w:hAnsi="Arial"/>
                <w:sz w:val="20"/>
              </w:rPr>
              <w:t>(MEC + MLC) – (BEC + BLC)</w:t>
            </w:r>
          </w:p>
        </w:tc>
        <w:tc>
          <w:tcPr>
            <w:tcW w:w="1396" w:type="pct"/>
          </w:tcPr>
          <w:p w14:paraId="53DDA9C0" w14:textId="77777777" w:rsidR="0049120B" w:rsidRPr="00A81C79" w:rsidRDefault="0049120B" w:rsidP="00EC7216">
            <w:pPr>
              <w:rPr>
                <w:rFonts w:ascii="Arial" w:hAnsi="Arial"/>
                <w:sz w:val="20"/>
              </w:rPr>
            </w:pPr>
            <w:r w:rsidRPr="00A81C79">
              <w:rPr>
                <w:rFonts w:ascii="Arial" w:hAnsi="Arial"/>
                <w:sz w:val="20"/>
              </w:rPr>
              <w:t>MEC + MLC</w:t>
            </w:r>
          </w:p>
        </w:tc>
        <w:tc>
          <w:tcPr>
            <w:tcW w:w="1489" w:type="pct"/>
          </w:tcPr>
          <w:p w14:paraId="79C619CA" w14:textId="77777777" w:rsidR="0049120B" w:rsidRPr="00A81C79" w:rsidRDefault="0049120B" w:rsidP="00EC7216">
            <w:pPr>
              <w:rPr>
                <w:rFonts w:ascii="Arial" w:hAnsi="Arial"/>
                <w:sz w:val="20"/>
              </w:rPr>
            </w:pPr>
            <w:r w:rsidRPr="00A81C79">
              <w:rPr>
                <w:rFonts w:ascii="Arial" w:hAnsi="Arial"/>
                <w:sz w:val="20"/>
              </w:rPr>
              <w:t>(MEC + MLC) – (BEC + BLC)</w:t>
            </w:r>
          </w:p>
        </w:tc>
      </w:tr>
      <w:tr w:rsidR="0049120B" w:rsidRPr="009842A2" w14:paraId="40EB4E05" w14:textId="77777777" w:rsidTr="00EC7216">
        <w:tc>
          <w:tcPr>
            <w:tcW w:w="671" w:type="pct"/>
          </w:tcPr>
          <w:p w14:paraId="6B31B190" w14:textId="77777777" w:rsidR="0049120B" w:rsidRPr="00A81C79" w:rsidRDefault="0049120B" w:rsidP="00EC7216">
            <w:pPr>
              <w:rPr>
                <w:rFonts w:ascii="Arial" w:hAnsi="Arial"/>
                <w:sz w:val="20"/>
              </w:rPr>
            </w:pPr>
            <w:r w:rsidRPr="00A81C79">
              <w:rPr>
                <w:rFonts w:ascii="Arial" w:hAnsi="Arial"/>
                <w:sz w:val="20"/>
              </w:rPr>
              <w:t>REF</w:t>
            </w:r>
          </w:p>
        </w:tc>
        <w:tc>
          <w:tcPr>
            <w:tcW w:w="1443" w:type="pct"/>
          </w:tcPr>
          <w:p w14:paraId="6C75D3CD" w14:textId="77777777" w:rsidR="0049120B" w:rsidRPr="00A81C79" w:rsidRDefault="0049120B" w:rsidP="00EC7216">
            <w:pPr>
              <w:rPr>
                <w:rFonts w:ascii="Arial" w:hAnsi="Arial"/>
                <w:sz w:val="20"/>
              </w:rPr>
            </w:pPr>
            <w:r w:rsidRPr="00A81C79">
              <w:rPr>
                <w:rFonts w:ascii="Arial" w:hAnsi="Arial"/>
                <w:sz w:val="20"/>
              </w:rPr>
              <w:t>(MEC + MLC) – (BEC + BLC)</w:t>
            </w:r>
          </w:p>
        </w:tc>
        <w:tc>
          <w:tcPr>
            <w:tcW w:w="1396" w:type="pct"/>
          </w:tcPr>
          <w:p w14:paraId="7F4B4E4A" w14:textId="77777777" w:rsidR="0049120B" w:rsidRPr="00A81C79" w:rsidRDefault="0049120B" w:rsidP="00EC7216">
            <w:pPr>
              <w:rPr>
                <w:rFonts w:ascii="Arial" w:hAnsi="Arial"/>
                <w:sz w:val="20"/>
              </w:rPr>
            </w:pPr>
            <w:r w:rsidRPr="00A81C79">
              <w:rPr>
                <w:rFonts w:ascii="Arial" w:hAnsi="Arial"/>
                <w:sz w:val="20"/>
              </w:rPr>
              <w:t>MEC + MLC</w:t>
            </w:r>
          </w:p>
        </w:tc>
        <w:tc>
          <w:tcPr>
            <w:tcW w:w="1489" w:type="pct"/>
          </w:tcPr>
          <w:p w14:paraId="07075F9A" w14:textId="77777777" w:rsidR="0049120B" w:rsidRPr="00A81C79" w:rsidRDefault="0049120B" w:rsidP="00EC7216">
            <w:pPr>
              <w:rPr>
                <w:rFonts w:ascii="Arial" w:hAnsi="Arial"/>
                <w:sz w:val="20"/>
              </w:rPr>
            </w:pPr>
            <w:r w:rsidRPr="00A81C79">
              <w:rPr>
                <w:rFonts w:ascii="Arial" w:hAnsi="Arial"/>
                <w:sz w:val="20"/>
              </w:rPr>
              <w:t>N/A</w:t>
            </w:r>
          </w:p>
        </w:tc>
      </w:tr>
      <w:tr w:rsidR="0049120B" w:rsidRPr="009842A2" w14:paraId="566BB692" w14:textId="77777777" w:rsidTr="00EC7216">
        <w:tc>
          <w:tcPr>
            <w:tcW w:w="671" w:type="pct"/>
          </w:tcPr>
          <w:p w14:paraId="1E1CDCB3" w14:textId="77777777" w:rsidR="0049120B" w:rsidRPr="00A81C79" w:rsidRDefault="0049120B" w:rsidP="00EC7216">
            <w:pPr>
              <w:rPr>
                <w:rFonts w:ascii="Arial" w:hAnsi="Arial"/>
                <w:sz w:val="20"/>
              </w:rPr>
            </w:pPr>
            <w:r w:rsidRPr="00A81C79">
              <w:rPr>
                <w:rFonts w:ascii="Arial" w:hAnsi="Arial"/>
                <w:sz w:val="20"/>
              </w:rPr>
              <w:t>REA</w:t>
            </w:r>
          </w:p>
        </w:tc>
        <w:tc>
          <w:tcPr>
            <w:tcW w:w="1443" w:type="pct"/>
          </w:tcPr>
          <w:p w14:paraId="544B926C" w14:textId="77777777" w:rsidR="0049120B" w:rsidRPr="00A81C79" w:rsidRDefault="0049120B" w:rsidP="00EC7216">
            <w:pPr>
              <w:rPr>
                <w:rFonts w:ascii="Arial" w:hAnsi="Arial"/>
                <w:sz w:val="20"/>
              </w:rPr>
            </w:pPr>
            <w:r w:rsidRPr="00A81C79">
              <w:rPr>
                <w:rFonts w:ascii="Arial" w:hAnsi="Arial"/>
                <w:sz w:val="20"/>
              </w:rPr>
              <w:t>MEC + MLC</w:t>
            </w:r>
          </w:p>
        </w:tc>
        <w:tc>
          <w:tcPr>
            <w:tcW w:w="1396" w:type="pct"/>
          </w:tcPr>
          <w:p w14:paraId="723D1971" w14:textId="77777777" w:rsidR="0049120B" w:rsidRPr="00A81C79" w:rsidRDefault="0049120B" w:rsidP="00EC7216">
            <w:pPr>
              <w:rPr>
                <w:rFonts w:ascii="Arial" w:hAnsi="Arial"/>
                <w:sz w:val="20"/>
              </w:rPr>
            </w:pPr>
            <w:r w:rsidRPr="00A81C79">
              <w:rPr>
                <w:rFonts w:ascii="Arial" w:hAnsi="Arial"/>
                <w:sz w:val="20"/>
              </w:rPr>
              <w:t>MEC + MLC</w:t>
            </w:r>
          </w:p>
        </w:tc>
        <w:tc>
          <w:tcPr>
            <w:tcW w:w="1489" w:type="pct"/>
          </w:tcPr>
          <w:p w14:paraId="2D05E695" w14:textId="77777777" w:rsidR="0049120B" w:rsidRPr="00A81C79" w:rsidRDefault="0049120B" w:rsidP="00EC7216">
            <w:pPr>
              <w:rPr>
                <w:rFonts w:ascii="Arial" w:hAnsi="Arial"/>
                <w:sz w:val="20"/>
              </w:rPr>
            </w:pPr>
            <w:r w:rsidRPr="00A81C79">
              <w:rPr>
                <w:rFonts w:ascii="Arial" w:hAnsi="Arial"/>
                <w:sz w:val="20"/>
              </w:rPr>
              <w:t>N/A</w:t>
            </w:r>
          </w:p>
        </w:tc>
      </w:tr>
    </w:tbl>
    <w:p w14:paraId="7D47F413" w14:textId="77777777" w:rsidR="0049120B" w:rsidRPr="00A81C79" w:rsidRDefault="0049120B" w:rsidP="0049120B">
      <w:pPr>
        <w:rPr>
          <w:rFonts w:ascii="Arial" w:hAnsi="Arial"/>
          <w:sz w:val="20"/>
        </w:rPr>
      </w:pPr>
      <w:r w:rsidRPr="00A81C79">
        <w:rPr>
          <w:rFonts w:ascii="Arial" w:hAnsi="Arial"/>
          <w:sz w:val="20"/>
        </w:rPr>
        <w:t>MEC = Measure Equipment Cost; MLC = Measure Labor Cost</w:t>
      </w:r>
    </w:p>
    <w:p w14:paraId="4C6B7277" w14:textId="77777777" w:rsidR="0049120B" w:rsidRPr="00A81C79" w:rsidRDefault="0049120B" w:rsidP="0049120B">
      <w:pPr>
        <w:rPr>
          <w:rFonts w:ascii="Arial" w:hAnsi="Arial"/>
          <w:sz w:val="20"/>
        </w:rPr>
      </w:pPr>
      <w:r w:rsidRPr="00A81C79">
        <w:rPr>
          <w:rFonts w:ascii="Arial" w:hAnsi="Arial"/>
          <w:sz w:val="20"/>
        </w:rPr>
        <w:t>BEC = Base Case Equipment Cost; BLC = Base Case Labor Cost</w:t>
      </w:r>
    </w:p>
    <w:bookmarkEnd w:id="187"/>
    <w:p w14:paraId="511318EB" w14:textId="77777777" w:rsidR="0049120B" w:rsidRPr="00A81C79" w:rsidRDefault="0049120B" w:rsidP="005F3DA0"/>
    <w:p w14:paraId="64AFD978" w14:textId="4AE52703" w:rsidR="0049120B" w:rsidRPr="00A81C79" w:rsidRDefault="0049120B" w:rsidP="005F3DA0">
      <w:pPr>
        <w:rPr>
          <w:rFonts w:ascii="Arial" w:hAnsi="Arial"/>
          <w:sz w:val="20"/>
        </w:rPr>
      </w:pPr>
      <w:r w:rsidRPr="00A81C79">
        <w:rPr>
          <w:rFonts w:ascii="Arial" w:hAnsi="Arial"/>
          <w:sz w:val="20"/>
        </w:rPr>
        <w:t xml:space="preserve">Please refer to the </w:t>
      </w:r>
      <w:r w:rsidR="00A81C79">
        <w:rPr>
          <w:rFonts w:ascii="Arial" w:hAnsi="Arial" w:cs="Arial"/>
          <w:sz w:val="20"/>
        </w:rPr>
        <w:t>savings</w:t>
      </w:r>
      <w:r w:rsidRPr="00A81C79">
        <w:rPr>
          <w:rFonts w:ascii="Arial" w:hAnsi="Arial"/>
          <w:sz w:val="20"/>
        </w:rPr>
        <w:t xml:space="preserve"> spreadsheet for detailed </w:t>
      </w:r>
      <w:r w:rsidR="00A81C79">
        <w:rPr>
          <w:rFonts w:ascii="Arial" w:hAnsi="Arial" w:cs="Arial"/>
          <w:sz w:val="20"/>
        </w:rPr>
        <w:t>base case</w:t>
      </w:r>
      <w:r>
        <w:rPr>
          <w:rFonts w:ascii="Arial" w:hAnsi="Arial"/>
          <w:sz w:val="20"/>
        </w:rPr>
        <w:t xml:space="preserve"> and </w:t>
      </w:r>
      <w:r w:rsidR="00A81C79">
        <w:rPr>
          <w:rFonts w:ascii="Arial" w:hAnsi="Arial" w:cs="Arial"/>
          <w:sz w:val="20"/>
        </w:rPr>
        <w:t>measure case</w:t>
      </w:r>
      <w:r>
        <w:rPr>
          <w:rFonts w:ascii="Arial" w:hAnsi="Arial"/>
          <w:sz w:val="20"/>
        </w:rPr>
        <w:t xml:space="preserve"> </w:t>
      </w:r>
      <w:r w:rsidRPr="00A81C79">
        <w:rPr>
          <w:rFonts w:ascii="Arial" w:hAnsi="Arial"/>
          <w:sz w:val="20"/>
        </w:rPr>
        <w:t xml:space="preserve">cost information.  </w:t>
      </w:r>
    </w:p>
    <w:p w14:paraId="4936B23A" w14:textId="77777777" w:rsidR="005F3DA0" w:rsidRPr="009842A2" w:rsidRDefault="005F3DA0" w:rsidP="005F3DA0">
      <w:pPr>
        <w:rPr>
          <w:rFonts w:ascii="Arial" w:hAnsi="Arial" w:cs="Arial"/>
          <w:kern w:val="32"/>
          <w:sz w:val="32"/>
          <w:szCs w:val="32"/>
          <w:highlight w:val="yellow"/>
        </w:rPr>
      </w:pPr>
      <w:r w:rsidRPr="009842A2">
        <w:rPr>
          <w:highlight w:val="yellow"/>
        </w:rPr>
        <w:br w:type="page"/>
      </w:r>
    </w:p>
    <w:p w14:paraId="02E81AB7" w14:textId="77777777" w:rsidR="00F44B64" w:rsidRPr="00A81C79" w:rsidRDefault="00F44B64" w:rsidP="00EC4B0D">
      <w:pPr>
        <w:pStyle w:val="Heading1"/>
        <w:tabs>
          <w:tab w:val="left" w:pos="3495"/>
        </w:tabs>
      </w:pPr>
      <w:bookmarkStart w:id="188" w:name="_Toc511038056"/>
      <w:bookmarkStart w:id="189" w:name="_Toc511244908"/>
      <w:r w:rsidRPr="00A81C79">
        <w:lastRenderedPageBreak/>
        <w:t>Attachments</w:t>
      </w:r>
      <w:bookmarkEnd w:id="188"/>
      <w:bookmarkEnd w:id="189"/>
    </w:p>
    <w:p w14:paraId="3777B6DD" w14:textId="4DFD37B2" w:rsidR="00F44B64" w:rsidRPr="00A81C79" w:rsidRDefault="00D26FA7" w:rsidP="00A81C79">
      <w:pPr>
        <w:rPr>
          <w:rFonts w:ascii="Arial" w:hAnsi="Arial"/>
          <w:sz w:val="20"/>
        </w:rPr>
      </w:pPr>
      <w:r w:rsidRPr="00A81C79">
        <w:rPr>
          <w:rFonts w:ascii="Arial" w:hAnsi="Arial"/>
          <w:sz w:val="20"/>
        </w:rPr>
        <w:t>Attachment 1 – ROB vs NC.xlsx</w:t>
      </w:r>
    </w:p>
    <w:p w14:paraId="064E810F" w14:textId="12F4B68D" w:rsidR="00A81C79" w:rsidRPr="00A81C79" w:rsidRDefault="00A81C79" w:rsidP="000E0BA4">
      <w:pPr>
        <w:tabs>
          <w:tab w:val="left" w:pos="7755"/>
        </w:tabs>
        <w:rPr>
          <w:rFonts w:ascii="Arial" w:hAnsi="Arial" w:cs="Arial"/>
          <w:sz w:val="20"/>
          <w:szCs w:val="20"/>
        </w:rPr>
      </w:pPr>
      <w:r w:rsidRPr="00A81C79">
        <w:rPr>
          <w:rFonts w:ascii="Arial" w:hAnsi="Arial" w:cs="Arial"/>
          <w:sz w:val="20"/>
          <w:szCs w:val="20"/>
        </w:rPr>
        <w:t>Attachment 2 – ProgramCostData2016.01.01-2018.03.29_cleaned.xlsx</w:t>
      </w:r>
      <w:r w:rsidR="000E0BA4">
        <w:rPr>
          <w:rFonts w:ascii="Arial" w:hAnsi="Arial" w:cs="Arial"/>
          <w:sz w:val="20"/>
          <w:szCs w:val="20"/>
        </w:rPr>
        <w:tab/>
      </w:r>
    </w:p>
    <w:p w14:paraId="23A304CB" w14:textId="12E7BBA7" w:rsidR="00076858" w:rsidRDefault="00076858" w:rsidP="00076858">
      <w:pPr>
        <w:rPr>
          <w:rFonts w:ascii="Arial" w:hAnsi="Arial" w:cs="Arial"/>
          <w:sz w:val="20"/>
          <w:szCs w:val="20"/>
        </w:rPr>
      </w:pPr>
      <w:r w:rsidRPr="00A81C79">
        <w:rPr>
          <w:rFonts w:ascii="Arial" w:hAnsi="Arial" w:cs="Arial"/>
          <w:sz w:val="20"/>
          <w:szCs w:val="20"/>
        </w:rPr>
        <w:t xml:space="preserve">Attachment </w:t>
      </w:r>
      <w:r>
        <w:rPr>
          <w:rFonts w:ascii="Arial" w:hAnsi="Arial" w:cs="Arial"/>
          <w:sz w:val="20"/>
          <w:szCs w:val="20"/>
        </w:rPr>
        <w:t>3</w:t>
      </w:r>
      <w:r w:rsidRPr="00A81C79">
        <w:rPr>
          <w:rFonts w:ascii="Arial" w:hAnsi="Arial" w:cs="Arial"/>
          <w:sz w:val="20"/>
          <w:szCs w:val="20"/>
        </w:rPr>
        <w:t xml:space="preserve"> – </w:t>
      </w:r>
      <w:r w:rsidR="004674CA">
        <w:rPr>
          <w:rFonts w:ascii="Arial" w:hAnsi="Arial" w:cs="Arial"/>
          <w:sz w:val="20"/>
          <w:szCs w:val="20"/>
        </w:rPr>
        <w:t>SCE High Bay Pricing</w:t>
      </w:r>
      <w:r w:rsidRPr="00A81C79">
        <w:rPr>
          <w:rFonts w:ascii="Arial" w:hAnsi="Arial" w:cs="Arial"/>
          <w:sz w:val="20"/>
          <w:szCs w:val="20"/>
        </w:rPr>
        <w:t>.xlsx</w:t>
      </w:r>
    </w:p>
    <w:p w14:paraId="3D15280D" w14:textId="4AC8F6EB" w:rsidR="004674CA" w:rsidRDefault="006666F0" w:rsidP="00076858">
      <w:pPr>
        <w:rPr>
          <w:rFonts w:ascii="Arial" w:hAnsi="Arial" w:cs="Arial"/>
          <w:sz w:val="20"/>
          <w:szCs w:val="20"/>
        </w:rPr>
      </w:pPr>
      <w:r>
        <w:rPr>
          <w:rFonts w:ascii="Arial" w:hAnsi="Arial" w:cs="Arial"/>
          <w:sz w:val="20"/>
          <w:szCs w:val="20"/>
        </w:rPr>
        <w:t xml:space="preserve">Attachment 4 </w:t>
      </w:r>
      <w:r w:rsidR="004674CA">
        <w:rPr>
          <w:rFonts w:ascii="Arial" w:hAnsi="Arial" w:cs="Arial"/>
          <w:sz w:val="20"/>
          <w:szCs w:val="20"/>
        </w:rPr>
        <w:t>–</w:t>
      </w:r>
      <w:r>
        <w:rPr>
          <w:rFonts w:ascii="Arial" w:hAnsi="Arial" w:cs="Arial"/>
          <w:sz w:val="20"/>
          <w:szCs w:val="20"/>
        </w:rPr>
        <w:t xml:space="preserve"> </w:t>
      </w:r>
      <w:r w:rsidR="004674CA">
        <w:rPr>
          <w:rFonts w:ascii="Arial" w:hAnsi="Arial" w:cs="Arial"/>
          <w:sz w:val="20"/>
          <w:szCs w:val="20"/>
        </w:rPr>
        <w:t>LF_Efficacy and Output_20180411.xlsx</w:t>
      </w:r>
    </w:p>
    <w:p w14:paraId="532BDDB1" w14:textId="57B93DAA" w:rsidR="006666F0" w:rsidRDefault="004674CA" w:rsidP="00076858">
      <w:pPr>
        <w:rPr>
          <w:rFonts w:ascii="Arial" w:hAnsi="Arial" w:cs="Arial"/>
          <w:sz w:val="20"/>
          <w:szCs w:val="20"/>
        </w:rPr>
      </w:pPr>
      <w:r>
        <w:rPr>
          <w:rFonts w:ascii="Arial" w:hAnsi="Arial" w:cs="Arial"/>
          <w:sz w:val="20"/>
          <w:szCs w:val="20"/>
        </w:rPr>
        <w:t xml:space="preserve">Attachment 5 - </w:t>
      </w:r>
      <w:r w:rsidR="006666F0" w:rsidRPr="006666F0">
        <w:rPr>
          <w:rFonts w:ascii="Arial" w:hAnsi="Arial" w:cs="Arial"/>
          <w:sz w:val="20"/>
          <w:szCs w:val="20"/>
        </w:rPr>
        <w:t>Hig</w:t>
      </w:r>
      <w:r w:rsidR="006666F0">
        <w:rPr>
          <w:rFonts w:ascii="Arial" w:hAnsi="Arial" w:cs="Arial"/>
          <w:sz w:val="20"/>
          <w:szCs w:val="20"/>
        </w:rPr>
        <w:t>hLowBay-InterimSolution_20180411.xlsx</w:t>
      </w:r>
    </w:p>
    <w:p w14:paraId="787F7600" w14:textId="7B84B0CF" w:rsidR="004674CA" w:rsidRDefault="004674CA" w:rsidP="00076858">
      <w:pPr>
        <w:rPr>
          <w:rFonts w:ascii="Arial" w:hAnsi="Arial" w:cs="Arial"/>
          <w:sz w:val="20"/>
          <w:szCs w:val="20"/>
        </w:rPr>
      </w:pPr>
      <w:r w:rsidRPr="004674CA">
        <w:rPr>
          <w:rFonts w:ascii="Arial" w:hAnsi="Arial" w:cs="Arial"/>
          <w:sz w:val="20"/>
          <w:szCs w:val="20"/>
        </w:rPr>
        <w:t>PGECOLTG178 R3 EDReports_4-11-2018</w:t>
      </w:r>
      <w:r>
        <w:rPr>
          <w:rFonts w:ascii="Arial" w:hAnsi="Arial" w:cs="Arial"/>
          <w:sz w:val="20"/>
          <w:szCs w:val="20"/>
        </w:rPr>
        <w:t>.xlsx</w:t>
      </w:r>
    </w:p>
    <w:p w14:paraId="744E8AC5" w14:textId="7BB1F0AC" w:rsidR="004674CA" w:rsidRPr="00A81C79" w:rsidRDefault="004674CA" w:rsidP="00076858">
      <w:pPr>
        <w:rPr>
          <w:rFonts w:ascii="Arial" w:hAnsi="Arial" w:cs="Arial"/>
          <w:sz w:val="20"/>
          <w:szCs w:val="20"/>
        </w:rPr>
      </w:pPr>
    </w:p>
    <w:p w14:paraId="4566D94E" w14:textId="77777777" w:rsidR="00F44B64" w:rsidRPr="00A81C79" w:rsidRDefault="00F44B64">
      <w:pPr>
        <w:rPr>
          <w:rFonts w:ascii="Arial" w:hAnsi="Arial"/>
          <w:b/>
          <w:kern w:val="32"/>
          <w:sz w:val="20"/>
        </w:rPr>
      </w:pPr>
      <w:r w:rsidRPr="00A81C79">
        <w:rPr>
          <w:rFonts w:ascii="Arial" w:hAnsi="Arial"/>
          <w:sz w:val="20"/>
        </w:rPr>
        <w:br w:type="page"/>
      </w:r>
    </w:p>
    <w:p w14:paraId="5260288C" w14:textId="5A5336B6" w:rsidR="009168A1" w:rsidRPr="000966CC" w:rsidRDefault="00DE0602" w:rsidP="00EC4B0D">
      <w:pPr>
        <w:pStyle w:val="Heading1"/>
        <w:tabs>
          <w:tab w:val="left" w:pos="3495"/>
        </w:tabs>
      </w:pPr>
      <w:bookmarkStart w:id="190" w:name="_Toc511038057"/>
      <w:bookmarkStart w:id="191" w:name="_Toc511244909"/>
      <w:r w:rsidRPr="00FA7420">
        <w:lastRenderedPageBreak/>
        <w:t>R</w:t>
      </w:r>
      <w:r w:rsidR="000966CC" w:rsidRPr="00FA7420">
        <w:t>eferences</w:t>
      </w:r>
      <w:bookmarkEnd w:id="190"/>
      <w:bookmarkEnd w:id="191"/>
      <w:r w:rsidR="00844B27">
        <w:t xml:space="preserve"> </w:t>
      </w:r>
      <w:r w:rsidR="00EC4B0D">
        <w:tab/>
      </w:r>
    </w:p>
    <w:sectPr w:rsidR="009168A1" w:rsidRPr="000966CC" w:rsidSect="000B6B1A">
      <w:endnotePr>
        <w:numFmt w:val="decimal"/>
      </w:endnotePr>
      <w:type w:val="continuous"/>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408B6" w14:textId="77777777" w:rsidR="002C3514" w:rsidRDefault="002C3514">
      <w:r>
        <w:separator/>
      </w:r>
    </w:p>
  </w:endnote>
  <w:endnote w:type="continuationSeparator" w:id="0">
    <w:p w14:paraId="5561EB66" w14:textId="77777777" w:rsidR="002C3514" w:rsidRDefault="002C3514">
      <w:r>
        <w:continuationSeparator/>
      </w:r>
    </w:p>
  </w:endnote>
  <w:endnote w:type="continuationNotice" w:id="1">
    <w:p w14:paraId="4E96F48A" w14:textId="77777777" w:rsidR="002C3514" w:rsidRDefault="002C3514"/>
  </w:endnote>
  <w:endnote w:id="2">
    <w:p w14:paraId="087C4569" w14:textId="730C696B" w:rsidR="002C3514" w:rsidRPr="0076474B" w:rsidRDefault="002C3514">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https://www.designlights.org/search/</w:t>
      </w:r>
    </w:p>
  </w:endnote>
  <w:endnote w:id="3">
    <w:p w14:paraId="76DAC149" w14:textId="77777777" w:rsidR="002C3514" w:rsidRDefault="002C3514" w:rsidP="003E1D2A">
      <w:pPr>
        <w:pStyle w:val="EndnoteText"/>
        <w:rPr>
          <w:rFonts w:ascii="Arial" w:hAnsi="Arial" w:cs="Arial"/>
        </w:rPr>
      </w:pPr>
    </w:p>
    <w:p w14:paraId="3B8BEABA" w14:textId="70AB4DF6" w:rsidR="002C3514" w:rsidRPr="0076474B" w:rsidRDefault="002C3514" w:rsidP="003E1D2A">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hyperlink r:id="rId1" w:history="1">
        <w:r w:rsidRPr="0076474B">
          <w:rPr>
            <w:rStyle w:val="Hyperlink"/>
            <w:rFonts w:ascii="Arial" w:hAnsi="Arial" w:cs="Arial"/>
          </w:rPr>
          <w:t>https://www.designlights.org/solid-state-lighting/qualification-requirements/past-technical-requirements/version-4-1-released-november-1-2016/</w:t>
        </w:r>
      </w:hyperlink>
    </w:p>
    <w:p w14:paraId="21EF4478" w14:textId="77777777" w:rsidR="002C3514" w:rsidRPr="0076474B" w:rsidRDefault="002C3514" w:rsidP="003E1D2A">
      <w:pPr>
        <w:pStyle w:val="EndnoteText"/>
        <w:rPr>
          <w:rFonts w:ascii="Arial" w:hAnsi="Arial" w:cs="Arial"/>
        </w:rPr>
      </w:pPr>
    </w:p>
  </w:endnote>
  <w:endnote w:id="4">
    <w:p w14:paraId="27704474" w14:textId="585D15F5" w:rsidR="002C3514" w:rsidRPr="0076474B" w:rsidRDefault="002C3514">
      <w:pPr>
        <w:pStyle w:val="EndnoteText"/>
        <w:rPr>
          <w:rFonts w:ascii="Arial" w:hAnsi="Arial"/>
        </w:rPr>
      </w:pPr>
      <w:r w:rsidRPr="0076474B">
        <w:rPr>
          <w:rStyle w:val="EndnoteReference"/>
          <w:rFonts w:ascii="Arial" w:hAnsi="Arial"/>
        </w:rPr>
        <w:endnoteRef/>
      </w:r>
      <w:r w:rsidRPr="0076474B">
        <w:rPr>
          <w:rFonts w:ascii="Arial" w:hAnsi="Arial"/>
        </w:rPr>
        <w:t xml:space="preserve"> CALiPER Snapshot Industrial Luminaires.  DOE.  March 13, 2017. </w:t>
      </w:r>
      <w:hyperlink r:id="rId2" w:history="1">
        <w:r w:rsidRPr="0076474B">
          <w:rPr>
            <w:rStyle w:val="Hyperlink"/>
            <w:rFonts w:ascii="Arial" w:hAnsi="Arial"/>
          </w:rPr>
          <w:t>https://www.energy.gov/sites/prod/files/2017/04/f34/snapshot2017_industrial.pdf</w:t>
        </w:r>
      </w:hyperlink>
    </w:p>
    <w:p w14:paraId="086A3716" w14:textId="77777777" w:rsidR="002C3514" w:rsidRPr="0076474B" w:rsidRDefault="002C3514">
      <w:pPr>
        <w:pStyle w:val="EndnoteText"/>
        <w:rPr>
          <w:rFonts w:ascii="Arial" w:hAnsi="Arial"/>
        </w:rPr>
      </w:pPr>
    </w:p>
  </w:endnote>
  <w:endnote w:id="5">
    <w:p w14:paraId="0DEA2257" w14:textId="1799B87D" w:rsidR="002C3514" w:rsidRPr="0076474B" w:rsidRDefault="002C3514" w:rsidP="00FA5F99">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r w:rsidRPr="0076474B">
        <w:rPr>
          <w:rStyle w:val="EndnoteReference"/>
          <w:rFonts w:ascii="Arial" w:hAnsi="Arial" w:cs="Arial"/>
          <w:vertAlign w:val="baseline"/>
        </w:rPr>
        <w:t xml:space="preserve">The </w:t>
      </w:r>
      <w:r w:rsidRPr="0076474B">
        <w:rPr>
          <w:rFonts w:ascii="Arial" w:hAnsi="Arial" w:cs="Arial"/>
        </w:rPr>
        <w:t xml:space="preserve">table “Measure Application Type” in the Measure Catalog can be found on the </w:t>
      </w:r>
      <w:r w:rsidRPr="0076474B">
        <w:rPr>
          <w:rFonts w:ascii="Arial" w:hAnsi="Arial" w:cs="Arial"/>
          <w:bCs/>
          <w:color w:val="333333"/>
          <w:kern w:val="36"/>
          <w:szCs w:val="22"/>
          <w:lang w:val="en-GB"/>
        </w:rPr>
        <w:t>Database for Energy-Efficient Resources (DEER) website,</w:t>
      </w:r>
      <w:r w:rsidRPr="0076474B">
        <w:rPr>
          <w:rStyle w:val="EndnoteReference"/>
          <w:rFonts w:ascii="Arial" w:hAnsi="Arial" w:cs="Arial"/>
          <w:vertAlign w:val="baseline"/>
        </w:rPr>
        <w:t xml:space="preserve"> </w:t>
      </w:r>
      <w:hyperlink r:id="rId3" w:history="1">
        <w:r w:rsidRPr="0076474B">
          <w:rPr>
            <w:rStyle w:val="Hyperlink"/>
            <w:rFonts w:ascii="Arial" w:hAnsi="Arial" w:cs="Arial"/>
          </w:rPr>
          <w:t>http://www.deeresources.com/</w:t>
        </w:r>
      </w:hyperlink>
    </w:p>
  </w:endnote>
  <w:endnote w:id="6">
    <w:p w14:paraId="18369C2C" w14:textId="77777777" w:rsidR="002C3514" w:rsidRPr="0076474B" w:rsidRDefault="002C3514">
      <w:pPr>
        <w:pStyle w:val="EndnoteText"/>
        <w:rPr>
          <w:rFonts w:ascii="Arial" w:hAnsi="Arial" w:cs="Arial"/>
        </w:rPr>
      </w:pPr>
    </w:p>
    <w:p w14:paraId="084FC3F7" w14:textId="533E4DAC" w:rsidR="002C3514" w:rsidRPr="0076474B" w:rsidRDefault="002C3514">
      <w:pPr>
        <w:pStyle w:val="EndnoteText"/>
        <w:rPr>
          <w:rFonts w:ascii="Arial" w:hAnsi="Arial"/>
        </w:rPr>
      </w:pPr>
      <w:r w:rsidRPr="0076474B">
        <w:rPr>
          <w:rStyle w:val="EndnoteReference"/>
          <w:rFonts w:ascii="Arial" w:hAnsi="Arial"/>
        </w:rPr>
        <w:endnoteRef/>
      </w:r>
      <w:r w:rsidRPr="0076474B">
        <w:rPr>
          <w:rFonts w:ascii="Arial" w:hAnsi="Arial" w:cs="Arial"/>
        </w:rPr>
        <w:t>CALiPER Summary Report Round 13. DOE. October 2011.</w:t>
      </w:r>
      <w:r w:rsidRPr="0076474B">
        <w:rPr>
          <w:rFonts w:ascii="Arial" w:hAnsi="Arial"/>
        </w:rPr>
        <w:t xml:space="preserve"> </w:t>
      </w:r>
      <w:hyperlink r:id="rId4" w:history="1">
        <w:r w:rsidRPr="0076474B">
          <w:rPr>
            <w:rStyle w:val="Hyperlink"/>
            <w:rFonts w:ascii="Arial" w:hAnsi="Arial"/>
          </w:rPr>
          <w:t>https://www1.eere.energy.gov/buildings/ssl/caliper/default.aspx</w:t>
        </w:r>
      </w:hyperlink>
    </w:p>
    <w:p w14:paraId="37C0E3D9" w14:textId="77777777" w:rsidR="002C3514" w:rsidRPr="0076474B" w:rsidRDefault="002C3514">
      <w:pPr>
        <w:pStyle w:val="EndnoteText"/>
        <w:rPr>
          <w:rFonts w:ascii="Arial" w:hAnsi="Arial"/>
        </w:rPr>
      </w:pPr>
    </w:p>
  </w:endnote>
  <w:endnote w:id="7">
    <w:p w14:paraId="51F3C30F" w14:textId="77777777" w:rsidR="002C3514" w:rsidRPr="0076474B" w:rsidRDefault="002C3514" w:rsidP="00573FFA">
      <w:pPr>
        <w:rPr>
          <w:rFonts w:ascii="Arial" w:hAnsi="Arial" w:cs="Arial"/>
          <w:sz w:val="20"/>
          <w:szCs w:val="20"/>
        </w:rPr>
      </w:pPr>
      <w:r w:rsidRPr="0076474B">
        <w:rPr>
          <w:rStyle w:val="EndnoteReference"/>
          <w:rFonts w:ascii="Arial" w:hAnsi="Arial"/>
        </w:rPr>
        <w:endnoteRef/>
      </w:r>
      <w:r w:rsidRPr="0076474B">
        <w:rPr>
          <w:rFonts w:ascii="Arial" w:hAnsi="Arial"/>
        </w:rPr>
        <w:t xml:space="preserve"> </w:t>
      </w:r>
      <w:hyperlink r:id="rId5" w:history="1">
        <w:r w:rsidRPr="0076474B">
          <w:rPr>
            <w:rStyle w:val="Hyperlink"/>
            <w:rFonts w:ascii="Arial" w:hAnsi="Arial" w:cs="Arial"/>
            <w:sz w:val="20"/>
            <w:szCs w:val="20"/>
          </w:rPr>
          <w:t>http://www.energy.ca.gov/2015publications/CEC-400-2015-037/CEC-400-2015-037-CMF.pdf</w:t>
        </w:r>
      </w:hyperlink>
    </w:p>
    <w:p w14:paraId="7AAD8CA7" w14:textId="77777777" w:rsidR="002C3514" w:rsidRPr="0076474B" w:rsidRDefault="002C3514" w:rsidP="00573FFA">
      <w:pPr>
        <w:pStyle w:val="EndnoteText"/>
        <w:rPr>
          <w:rFonts w:ascii="Arial" w:hAnsi="Arial"/>
        </w:rPr>
      </w:pPr>
    </w:p>
  </w:endnote>
  <w:endnote w:id="8">
    <w:p w14:paraId="6A341189" w14:textId="45BCD422" w:rsidR="002C3514" w:rsidRPr="0076474B" w:rsidRDefault="002C3514" w:rsidP="00C37145">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Notice Of Proposed Rulemaking Technical Support Document: Energy Efficiency Program For Consumer Products And Certain Commercial And Industrial Equipment: Metal Halide Lamp Fixtures.  DOE. August 2013.</w:t>
      </w:r>
    </w:p>
    <w:p w14:paraId="7823065F" w14:textId="3190CFBA" w:rsidR="002C3514" w:rsidRPr="0076474B" w:rsidRDefault="002C3514" w:rsidP="00C37145">
      <w:pPr>
        <w:pStyle w:val="EndnoteText"/>
        <w:rPr>
          <w:rFonts w:ascii="Arial" w:hAnsi="Arial" w:cs="Arial"/>
        </w:rPr>
      </w:pPr>
    </w:p>
  </w:endnote>
  <w:endnote w:id="9">
    <w:p w14:paraId="31808A26" w14:textId="256898D8" w:rsidR="002C3514" w:rsidRDefault="002C3514">
      <w:pPr>
        <w:pStyle w:val="EndnoteText"/>
      </w:pPr>
      <w:r>
        <w:rPr>
          <w:rStyle w:val="EndnoteReference"/>
        </w:rPr>
        <w:endnoteRef/>
      </w:r>
      <w:r>
        <w:t xml:space="preserve"> Navigant.  California LED Pricing Analysis – Final Report.  January 2018.</w:t>
      </w:r>
    </w:p>
    <w:p w14:paraId="38BC59D4" w14:textId="1D04940E" w:rsidR="002C3514" w:rsidRDefault="00C426D4">
      <w:pPr>
        <w:pStyle w:val="EndnoteText"/>
      </w:pPr>
      <w:hyperlink r:id="rId6" w:history="1">
        <w:r w:rsidR="002C3514" w:rsidRPr="00B1051B">
          <w:rPr>
            <w:rStyle w:val="Hyperlink"/>
          </w:rPr>
          <w:t>http://www.calmac.org/publications/LED_Pricing_Analysis_Report_-_Revised_1.19.2018_Final.pdf</w:t>
        </w:r>
      </w:hyperlink>
    </w:p>
    <w:p w14:paraId="6234019F" w14:textId="77777777" w:rsidR="002C3514" w:rsidRDefault="002C3514">
      <w:pPr>
        <w:pStyle w:val="EndnoteText"/>
      </w:pPr>
    </w:p>
  </w:endnote>
  <w:endnote w:id="10">
    <w:p w14:paraId="7E3CC036" w14:textId="77777777" w:rsidR="002C3514" w:rsidRPr="0076474B" w:rsidRDefault="002C3514" w:rsidP="00F84644">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Navigant.  California LED Workpaper Update Study – Final Report.  August 28, 2015.  </w:t>
      </w:r>
      <w:hyperlink r:id="rId7" w:history="1">
        <w:r w:rsidRPr="0076474B">
          <w:rPr>
            <w:rStyle w:val="Hyperlink"/>
            <w:rFonts w:ascii="Arial" w:hAnsi="Arial" w:cs="Arial"/>
          </w:rPr>
          <w:t>http://www.calmac.org/publications/LED_Study_Report_FINAL_201510029.pdf</w:t>
        </w:r>
      </w:hyperlink>
    </w:p>
    <w:p w14:paraId="7BA6C336" w14:textId="77777777" w:rsidR="002C3514" w:rsidRPr="0076474B" w:rsidRDefault="002C3514" w:rsidP="00F84644">
      <w:pPr>
        <w:pStyle w:val="EndnoteText"/>
        <w:rPr>
          <w:rFonts w:ascii="Arial" w:hAnsi="Arial" w:cs="Arial"/>
        </w:rPr>
      </w:pPr>
    </w:p>
  </w:endnote>
  <w:endnote w:id="11">
    <w:p w14:paraId="6F159173" w14:textId="77777777" w:rsidR="002C3514" w:rsidRPr="00E07918" w:rsidRDefault="002C3514" w:rsidP="0049120B">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2010-2012 WO017 Ex Ante Measure Cost Study Final Report.  Submitted by:  Itron, Inc.  May 27, 2014.  Table 4-6. Page 4-12. </w:t>
      </w:r>
      <w:r w:rsidRPr="0076474B">
        <w:rPr>
          <w:rFonts w:ascii="Arial" w:hAnsi="Arial" w:cs="Arial"/>
          <w:i/>
        </w:rPr>
        <w:t>HID to T5 Fixtures high bay, lift accessible.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AA2F5" w14:textId="77777777" w:rsidR="002C3514" w:rsidRDefault="002C351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1A63BA" w14:textId="77777777" w:rsidR="002C3514" w:rsidRDefault="002C3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A9CDA" w14:textId="217D9746" w:rsidR="002C3514" w:rsidRPr="00846195" w:rsidRDefault="002C351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426D4">
      <w:rPr>
        <w:rStyle w:val="PageNumber"/>
        <w:b/>
        <w:noProof/>
        <w:sz w:val="20"/>
        <w:szCs w:val="20"/>
      </w:rPr>
      <w:t>11</w:t>
    </w:r>
    <w:r w:rsidRPr="00846195">
      <w:rPr>
        <w:rStyle w:val="PageNumber"/>
        <w:b/>
        <w:sz w:val="20"/>
        <w:szCs w:val="20"/>
      </w:rPr>
      <w:fldChar w:fldCharType="end"/>
    </w:r>
  </w:p>
  <w:p w14:paraId="1FE04E8F" w14:textId="393CC238" w:rsidR="002C3514" w:rsidRDefault="002C3514"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4/11/2018</w:t>
    </w:r>
  </w:p>
  <w:p w14:paraId="7B3284FC" w14:textId="77777777" w:rsidR="002C3514" w:rsidRDefault="002C3514" w:rsidP="00D7047A">
    <w:pPr>
      <w:pStyle w:val="Footer"/>
      <w:rPr>
        <w:b/>
        <w:sz w:val="20"/>
        <w:szCs w:val="20"/>
      </w:rPr>
    </w:pPr>
    <w:r>
      <w:rPr>
        <w:b/>
        <w:sz w:val="20"/>
        <w:szCs w:val="20"/>
      </w:rPr>
      <w:t>Pacific Gas &amp; Electric Company</w:t>
    </w:r>
  </w:p>
  <w:p w14:paraId="5C24AADC" w14:textId="77777777" w:rsidR="002C3514" w:rsidRPr="00893A0F" w:rsidRDefault="002C3514" w:rsidP="00D7047A">
    <w:pPr>
      <w:pStyle w:val="Footer"/>
      <w:rPr>
        <w:b/>
        <w:sz w:val="20"/>
        <w:szCs w:val="20"/>
      </w:rPr>
    </w:pPr>
    <w:r w:rsidRPr="00893A0F">
      <w:rPr>
        <w:noProof/>
        <w:sz w:val="20"/>
        <w:szCs w:val="20"/>
      </w:rPr>
      <w:t>PGECOLTG</w:t>
    </w:r>
    <w:r>
      <w:rPr>
        <w:noProof/>
        <w:sz w:val="20"/>
        <w:szCs w:val="20"/>
      </w:rPr>
      <w:t>178 R3</w:t>
    </w:r>
    <w:r w:rsidRPr="00893A0F">
      <w:rPr>
        <w:noProof/>
        <w:sz w:val="20"/>
        <w:szCs w:val="20"/>
      </w:rPr>
      <w:t xml:space="preserve"> LED</w:t>
    </w:r>
    <w:r>
      <w:rPr>
        <w:noProof/>
        <w:sz w:val="20"/>
        <w:szCs w:val="20"/>
      </w:rPr>
      <w:t xml:space="preserve"> core and DI High-Low Bay Fixt</w:t>
    </w:r>
    <w:r w:rsidRPr="00893A0F">
      <w:rPr>
        <w:noProof/>
        <w:sz w:val="20"/>
        <w:szCs w:val="20"/>
      </w:rPr>
      <w:t>.doc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54D4E" w14:textId="35DD4C69" w:rsidR="002C3514" w:rsidRPr="002E0E3F" w:rsidRDefault="002C3514" w:rsidP="00D7047A">
    <w:pPr>
      <w:pStyle w:val="Footer"/>
      <w:jc w:val="right"/>
      <w:rPr>
        <w:rFonts w:ascii="Arial" w:hAnsi="Arial" w:cs="Arial"/>
        <w:b/>
        <w:sz w:val="36"/>
        <w:szCs w:val="36"/>
      </w:rPr>
    </w:pPr>
    <w:r>
      <w:rPr>
        <w:rFonts w:ascii="Arial" w:hAnsi="Arial" w:cs="Arial"/>
        <w:b/>
        <w:sz w:val="36"/>
        <w:szCs w:val="36"/>
      </w:rPr>
      <w:t>4/11/2018</w:t>
    </w:r>
  </w:p>
  <w:p w14:paraId="7CB3595D" w14:textId="77777777" w:rsidR="002C3514" w:rsidRDefault="002C3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E5071" w14:textId="77777777" w:rsidR="002C3514" w:rsidRDefault="002C3514">
      <w:r>
        <w:separator/>
      </w:r>
    </w:p>
  </w:footnote>
  <w:footnote w:type="continuationSeparator" w:id="0">
    <w:p w14:paraId="59F245E3" w14:textId="77777777" w:rsidR="002C3514" w:rsidRDefault="002C3514">
      <w:r>
        <w:continuationSeparator/>
      </w:r>
    </w:p>
  </w:footnote>
  <w:footnote w:type="continuationNotice" w:id="1">
    <w:p w14:paraId="6661DED6" w14:textId="77777777" w:rsidR="002C3514" w:rsidRDefault="002C3514"/>
  </w:footnote>
  <w:footnote w:id="2">
    <w:p w14:paraId="4CC48C77" w14:textId="77777777" w:rsidR="002C3514" w:rsidRDefault="002C3514" w:rsidP="00661E36">
      <w:pPr>
        <w:pStyle w:val="FootnoteText"/>
        <w:rPr>
          <w:rStyle w:val="Hyperlink"/>
        </w:rPr>
      </w:pPr>
      <w:r>
        <w:rPr>
          <w:rStyle w:val="FootnoteReference"/>
        </w:rPr>
        <w:footnoteRef/>
      </w:r>
      <w:r>
        <w:t xml:space="preserve"> Lighting Research Center. </w:t>
      </w:r>
      <w:r w:rsidRPr="007E5945">
        <w:rPr>
          <w:i/>
        </w:rPr>
        <w:t>Lighting Answers: Mid-wattage Metal Halide Lamps</w:t>
      </w:r>
      <w:r>
        <w:rPr>
          <w:i/>
        </w:rPr>
        <w:t>.</w:t>
      </w:r>
      <w:r>
        <w:t xml:space="preserve"> Accessed at </w:t>
      </w:r>
      <w:hyperlink r:id="rId1" w:history="1">
        <w:r w:rsidRPr="0071046C">
          <w:rPr>
            <w:rStyle w:val="Hyperlink"/>
          </w:rPr>
          <w:t>http://www.lrc.rpi.edu/programs/nlpip/lightinganswers/mwmhl/characteristics6.asp</w:t>
        </w:r>
      </w:hyperlink>
      <w:r>
        <w:rPr>
          <w:rStyle w:val="Hyperlink"/>
        </w:rPr>
        <w:t>.</w:t>
      </w:r>
    </w:p>
    <w:p w14:paraId="2B4D9DA7" w14:textId="6546481A" w:rsidR="002C3514" w:rsidRDefault="002C3514" w:rsidP="00661E36">
      <w:pPr>
        <w:pStyle w:val="FootnoteText"/>
      </w:pPr>
      <w:r>
        <w:t xml:space="preserve">Also using data from </w:t>
      </w:r>
      <w:r w:rsidRPr="00CC04F8">
        <w:rPr>
          <w:i/>
        </w:rPr>
        <w:t>LRC Lighting Answers: Low-wattage Metal Halide Lamps</w:t>
      </w:r>
      <w:r>
        <w:t>, table 2 and manufacturer website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A621E" w14:textId="77777777" w:rsidR="002C3514" w:rsidRDefault="002C3514" w:rsidP="001A573F">
    <w:pPr>
      <w:pStyle w:val="Header"/>
      <w:jc w:val="right"/>
    </w:pPr>
  </w:p>
  <w:p w14:paraId="4862F3A3" w14:textId="77777777" w:rsidR="002C3514" w:rsidRDefault="002C3514" w:rsidP="001A57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6319"/>
    <w:multiLevelType w:val="hybridMultilevel"/>
    <w:tmpl w:val="DE12D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D92849"/>
    <w:multiLevelType w:val="hybridMultilevel"/>
    <w:tmpl w:val="83889C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75917"/>
    <w:multiLevelType w:val="hybridMultilevel"/>
    <w:tmpl w:val="15780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36F8F"/>
    <w:multiLevelType w:val="hybridMultilevel"/>
    <w:tmpl w:val="40F46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7F0880"/>
    <w:multiLevelType w:val="hybridMultilevel"/>
    <w:tmpl w:val="A864AF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E1771D"/>
    <w:multiLevelType w:val="hybridMultilevel"/>
    <w:tmpl w:val="B47EE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F607E1"/>
    <w:multiLevelType w:val="hybridMultilevel"/>
    <w:tmpl w:val="5F2EC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B394799"/>
    <w:multiLevelType w:val="hybridMultilevel"/>
    <w:tmpl w:val="7A7A2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8302EC"/>
    <w:multiLevelType w:val="hybridMultilevel"/>
    <w:tmpl w:val="7A7A2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FA1BF9"/>
    <w:multiLevelType w:val="hybridMultilevel"/>
    <w:tmpl w:val="CC569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A04CF"/>
    <w:multiLevelType w:val="hybridMultilevel"/>
    <w:tmpl w:val="26829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C39610D"/>
    <w:multiLevelType w:val="hybridMultilevel"/>
    <w:tmpl w:val="FE025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058EB"/>
    <w:multiLevelType w:val="hybridMultilevel"/>
    <w:tmpl w:val="93A24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080BEAC">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DB3F15"/>
    <w:multiLevelType w:val="multilevel"/>
    <w:tmpl w:val="E81644B6"/>
    <w:lvl w:ilvl="0">
      <w:start w:val="1"/>
      <w:numFmt w:val="decimal"/>
      <w:lvlText w:val="%1."/>
      <w:lvlJc w:val="left"/>
      <w:pPr>
        <w:ind w:left="720" w:hanging="360"/>
      </w:p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6C05C0D"/>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8749AF"/>
    <w:multiLevelType w:val="hybridMultilevel"/>
    <w:tmpl w:val="315CFF12"/>
    <w:lvl w:ilvl="0" w:tplc="4BAEBF72">
      <w:start w:val="1"/>
      <w:numFmt w:val="bullet"/>
      <w:lvlText w:val="•"/>
      <w:lvlJc w:val="left"/>
      <w:pPr>
        <w:tabs>
          <w:tab w:val="num" w:pos="720"/>
        </w:tabs>
        <w:ind w:left="720" w:hanging="360"/>
      </w:pPr>
      <w:rPr>
        <w:rFonts w:ascii="Times New Roman" w:hAnsi="Times New Roman" w:hint="default"/>
      </w:rPr>
    </w:lvl>
    <w:lvl w:ilvl="1" w:tplc="FB1600FC" w:tentative="1">
      <w:start w:val="1"/>
      <w:numFmt w:val="bullet"/>
      <w:lvlText w:val="•"/>
      <w:lvlJc w:val="left"/>
      <w:pPr>
        <w:tabs>
          <w:tab w:val="num" w:pos="1440"/>
        </w:tabs>
        <w:ind w:left="1440" w:hanging="360"/>
      </w:pPr>
      <w:rPr>
        <w:rFonts w:ascii="Times New Roman" w:hAnsi="Times New Roman" w:hint="default"/>
      </w:rPr>
    </w:lvl>
    <w:lvl w:ilvl="2" w:tplc="1CFA28BA" w:tentative="1">
      <w:start w:val="1"/>
      <w:numFmt w:val="bullet"/>
      <w:lvlText w:val="•"/>
      <w:lvlJc w:val="left"/>
      <w:pPr>
        <w:tabs>
          <w:tab w:val="num" w:pos="2160"/>
        </w:tabs>
        <w:ind w:left="2160" w:hanging="360"/>
      </w:pPr>
      <w:rPr>
        <w:rFonts w:ascii="Times New Roman" w:hAnsi="Times New Roman" w:hint="default"/>
      </w:rPr>
    </w:lvl>
    <w:lvl w:ilvl="3" w:tplc="CCFC5CB4" w:tentative="1">
      <w:start w:val="1"/>
      <w:numFmt w:val="bullet"/>
      <w:lvlText w:val="•"/>
      <w:lvlJc w:val="left"/>
      <w:pPr>
        <w:tabs>
          <w:tab w:val="num" w:pos="2880"/>
        </w:tabs>
        <w:ind w:left="2880" w:hanging="360"/>
      </w:pPr>
      <w:rPr>
        <w:rFonts w:ascii="Times New Roman" w:hAnsi="Times New Roman" w:hint="default"/>
      </w:rPr>
    </w:lvl>
    <w:lvl w:ilvl="4" w:tplc="F77C107E" w:tentative="1">
      <w:start w:val="1"/>
      <w:numFmt w:val="bullet"/>
      <w:lvlText w:val="•"/>
      <w:lvlJc w:val="left"/>
      <w:pPr>
        <w:tabs>
          <w:tab w:val="num" w:pos="3600"/>
        </w:tabs>
        <w:ind w:left="3600" w:hanging="360"/>
      </w:pPr>
      <w:rPr>
        <w:rFonts w:ascii="Times New Roman" w:hAnsi="Times New Roman" w:hint="default"/>
      </w:rPr>
    </w:lvl>
    <w:lvl w:ilvl="5" w:tplc="109A4216" w:tentative="1">
      <w:start w:val="1"/>
      <w:numFmt w:val="bullet"/>
      <w:lvlText w:val="•"/>
      <w:lvlJc w:val="left"/>
      <w:pPr>
        <w:tabs>
          <w:tab w:val="num" w:pos="4320"/>
        </w:tabs>
        <w:ind w:left="4320" w:hanging="360"/>
      </w:pPr>
      <w:rPr>
        <w:rFonts w:ascii="Times New Roman" w:hAnsi="Times New Roman" w:hint="default"/>
      </w:rPr>
    </w:lvl>
    <w:lvl w:ilvl="6" w:tplc="96D4D222" w:tentative="1">
      <w:start w:val="1"/>
      <w:numFmt w:val="bullet"/>
      <w:lvlText w:val="•"/>
      <w:lvlJc w:val="left"/>
      <w:pPr>
        <w:tabs>
          <w:tab w:val="num" w:pos="5040"/>
        </w:tabs>
        <w:ind w:left="5040" w:hanging="360"/>
      </w:pPr>
      <w:rPr>
        <w:rFonts w:ascii="Times New Roman" w:hAnsi="Times New Roman" w:hint="default"/>
      </w:rPr>
    </w:lvl>
    <w:lvl w:ilvl="7" w:tplc="F8AEB45A" w:tentative="1">
      <w:start w:val="1"/>
      <w:numFmt w:val="bullet"/>
      <w:lvlText w:val="•"/>
      <w:lvlJc w:val="left"/>
      <w:pPr>
        <w:tabs>
          <w:tab w:val="num" w:pos="5760"/>
        </w:tabs>
        <w:ind w:left="5760" w:hanging="360"/>
      </w:pPr>
      <w:rPr>
        <w:rFonts w:ascii="Times New Roman" w:hAnsi="Times New Roman" w:hint="default"/>
      </w:rPr>
    </w:lvl>
    <w:lvl w:ilvl="8" w:tplc="830015F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FE75DF5"/>
    <w:multiLevelType w:val="hybridMultilevel"/>
    <w:tmpl w:val="01162A42"/>
    <w:lvl w:ilvl="0" w:tplc="E7C079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13E47CB"/>
    <w:multiLevelType w:val="hybridMultilevel"/>
    <w:tmpl w:val="F282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A38CD"/>
    <w:multiLevelType w:val="hybridMultilevel"/>
    <w:tmpl w:val="4C76D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071E86"/>
    <w:multiLevelType w:val="hybridMultilevel"/>
    <w:tmpl w:val="55A2C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2073BB"/>
    <w:multiLevelType w:val="hybridMultilevel"/>
    <w:tmpl w:val="65F614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462B2C"/>
    <w:multiLevelType w:val="hybridMultilevel"/>
    <w:tmpl w:val="F682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3"/>
  </w:num>
  <w:num w:numId="3">
    <w:abstractNumId w:val="21"/>
  </w:num>
  <w:num w:numId="4">
    <w:abstractNumId w:val="25"/>
  </w:num>
  <w:num w:numId="5">
    <w:abstractNumId w:val="17"/>
  </w:num>
  <w:num w:numId="6">
    <w:abstractNumId w:val="2"/>
  </w:num>
  <w:num w:numId="7">
    <w:abstractNumId w:val="24"/>
  </w:num>
  <w:num w:numId="8">
    <w:abstractNumId w:val="14"/>
  </w:num>
  <w:num w:numId="9">
    <w:abstractNumId w:val="13"/>
  </w:num>
  <w:num w:numId="10">
    <w:abstractNumId w:val="9"/>
  </w:num>
  <w:num w:numId="11">
    <w:abstractNumId w:val="20"/>
  </w:num>
  <w:num w:numId="12">
    <w:abstractNumId w:val="16"/>
  </w:num>
  <w:num w:numId="13">
    <w:abstractNumId w:val="12"/>
  </w:num>
  <w:num w:numId="14">
    <w:abstractNumId w:val="0"/>
  </w:num>
  <w:num w:numId="15">
    <w:abstractNumId w:val="1"/>
  </w:num>
  <w:num w:numId="16">
    <w:abstractNumId w:val="15"/>
  </w:num>
  <w:num w:numId="17">
    <w:abstractNumId w:val="6"/>
  </w:num>
  <w:num w:numId="18">
    <w:abstractNumId w:val="18"/>
  </w:num>
  <w:num w:numId="19">
    <w:abstractNumId w:val="22"/>
  </w:num>
  <w:num w:numId="20">
    <w:abstractNumId w:val="19"/>
  </w:num>
  <w:num w:numId="21">
    <w:abstractNumId w:val="10"/>
  </w:num>
  <w:num w:numId="22">
    <w:abstractNumId w:val="7"/>
  </w:num>
  <w:num w:numId="23">
    <w:abstractNumId w:val="3"/>
  </w:num>
  <w:num w:numId="24">
    <w:abstractNumId w:val="11"/>
  </w:num>
  <w:num w:numId="25">
    <w:abstractNumId w:val="5"/>
  </w:num>
  <w:num w:numId="2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A5F"/>
    <w:rsid w:val="0000411D"/>
    <w:rsid w:val="000049BB"/>
    <w:rsid w:val="00004C8E"/>
    <w:rsid w:val="000050CC"/>
    <w:rsid w:val="00005E70"/>
    <w:rsid w:val="00007BED"/>
    <w:rsid w:val="00012F86"/>
    <w:rsid w:val="00014740"/>
    <w:rsid w:val="00014742"/>
    <w:rsid w:val="00016772"/>
    <w:rsid w:val="0001685C"/>
    <w:rsid w:val="00016AD6"/>
    <w:rsid w:val="000170B5"/>
    <w:rsid w:val="00017488"/>
    <w:rsid w:val="0002118E"/>
    <w:rsid w:val="00023102"/>
    <w:rsid w:val="00024AA9"/>
    <w:rsid w:val="00025717"/>
    <w:rsid w:val="00026512"/>
    <w:rsid w:val="00026F78"/>
    <w:rsid w:val="00026FB9"/>
    <w:rsid w:val="000272C2"/>
    <w:rsid w:val="00027ED2"/>
    <w:rsid w:val="00030349"/>
    <w:rsid w:val="0003064A"/>
    <w:rsid w:val="0003129B"/>
    <w:rsid w:val="000313A4"/>
    <w:rsid w:val="000313C0"/>
    <w:rsid w:val="00032B63"/>
    <w:rsid w:val="00032F1B"/>
    <w:rsid w:val="00034DE3"/>
    <w:rsid w:val="000351CB"/>
    <w:rsid w:val="000373B0"/>
    <w:rsid w:val="000374A5"/>
    <w:rsid w:val="00044365"/>
    <w:rsid w:val="00044570"/>
    <w:rsid w:val="000448A5"/>
    <w:rsid w:val="00044A5D"/>
    <w:rsid w:val="00045422"/>
    <w:rsid w:val="00046D10"/>
    <w:rsid w:val="00047009"/>
    <w:rsid w:val="00047CCB"/>
    <w:rsid w:val="0005317E"/>
    <w:rsid w:val="00053CD8"/>
    <w:rsid w:val="0005535A"/>
    <w:rsid w:val="00055973"/>
    <w:rsid w:val="00056167"/>
    <w:rsid w:val="00056DB9"/>
    <w:rsid w:val="000571F6"/>
    <w:rsid w:val="00057957"/>
    <w:rsid w:val="0005796E"/>
    <w:rsid w:val="00057C09"/>
    <w:rsid w:val="00062400"/>
    <w:rsid w:val="00063A83"/>
    <w:rsid w:val="00063F96"/>
    <w:rsid w:val="00063FA7"/>
    <w:rsid w:val="0006490F"/>
    <w:rsid w:val="00066844"/>
    <w:rsid w:val="00066845"/>
    <w:rsid w:val="00066D5B"/>
    <w:rsid w:val="000678A2"/>
    <w:rsid w:val="00067EB5"/>
    <w:rsid w:val="000701EB"/>
    <w:rsid w:val="000719AA"/>
    <w:rsid w:val="00073184"/>
    <w:rsid w:val="00073C1E"/>
    <w:rsid w:val="000749EA"/>
    <w:rsid w:val="00076858"/>
    <w:rsid w:val="00077161"/>
    <w:rsid w:val="00077DC4"/>
    <w:rsid w:val="000814B9"/>
    <w:rsid w:val="00081DFB"/>
    <w:rsid w:val="00082437"/>
    <w:rsid w:val="000828BF"/>
    <w:rsid w:val="000842B9"/>
    <w:rsid w:val="0008441F"/>
    <w:rsid w:val="0008537D"/>
    <w:rsid w:val="00085DF5"/>
    <w:rsid w:val="00086594"/>
    <w:rsid w:val="00087378"/>
    <w:rsid w:val="00087D5A"/>
    <w:rsid w:val="00095610"/>
    <w:rsid w:val="000966CC"/>
    <w:rsid w:val="00097409"/>
    <w:rsid w:val="000A11F3"/>
    <w:rsid w:val="000A1ADB"/>
    <w:rsid w:val="000A2490"/>
    <w:rsid w:val="000A2C59"/>
    <w:rsid w:val="000A2FB3"/>
    <w:rsid w:val="000A3CFB"/>
    <w:rsid w:val="000A48F2"/>
    <w:rsid w:val="000A4F33"/>
    <w:rsid w:val="000B0B1E"/>
    <w:rsid w:val="000B63FA"/>
    <w:rsid w:val="000B6B1A"/>
    <w:rsid w:val="000B71D2"/>
    <w:rsid w:val="000C07B1"/>
    <w:rsid w:val="000C0FD3"/>
    <w:rsid w:val="000C23B1"/>
    <w:rsid w:val="000C2E95"/>
    <w:rsid w:val="000C4909"/>
    <w:rsid w:val="000C5FFA"/>
    <w:rsid w:val="000C6AAD"/>
    <w:rsid w:val="000C768E"/>
    <w:rsid w:val="000C787A"/>
    <w:rsid w:val="000D06CE"/>
    <w:rsid w:val="000D1381"/>
    <w:rsid w:val="000D1C38"/>
    <w:rsid w:val="000D22E1"/>
    <w:rsid w:val="000D2D93"/>
    <w:rsid w:val="000D47BE"/>
    <w:rsid w:val="000D47DA"/>
    <w:rsid w:val="000D4EB7"/>
    <w:rsid w:val="000D5047"/>
    <w:rsid w:val="000D52DD"/>
    <w:rsid w:val="000D5790"/>
    <w:rsid w:val="000D64B7"/>
    <w:rsid w:val="000D6DA4"/>
    <w:rsid w:val="000E0350"/>
    <w:rsid w:val="000E0BA4"/>
    <w:rsid w:val="000E132D"/>
    <w:rsid w:val="000E273A"/>
    <w:rsid w:val="000E31B5"/>
    <w:rsid w:val="000E65C8"/>
    <w:rsid w:val="000E6E80"/>
    <w:rsid w:val="000E73AD"/>
    <w:rsid w:val="000F0069"/>
    <w:rsid w:val="000F0C5D"/>
    <w:rsid w:val="000F11DD"/>
    <w:rsid w:val="000F16B4"/>
    <w:rsid w:val="000F1946"/>
    <w:rsid w:val="000F5CBC"/>
    <w:rsid w:val="001017FF"/>
    <w:rsid w:val="00102BF4"/>
    <w:rsid w:val="00102F3E"/>
    <w:rsid w:val="00115608"/>
    <w:rsid w:val="00115EB1"/>
    <w:rsid w:val="00116E72"/>
    <w:rsid w:val="00120AA3"/>
    <w:rsid w:val="0012128C"/>
    <w:rsid w:val="0012161A"/>
    <w:rsid w:val="00121D23"/>
    <w:rsid w:val="001231EA"/>
    <w:rsid w:val="001248A3"/>
    <w:rsid w:val="00124F32"/>
    <w:rsid w:val="001256EC"/>
    <w:rsid w:val="00126483"/>
    <w:rsid w:val="00126A4E"/>
    <w:rsid w:val="00127CC8"/>
    <w:rsid w:val="0013046A"/>
    <w:rsid w:val="0013080C"/>
    <w:rsid w:val="0013087E"/>
    <w:rsid w:val="00130C40"/>
    <w:rsid w:val="00133198"/>
    <w:rsid w:val="00133783"/>
    <w:rsid w:val="00133946"/>
    <w:rsid w:val="00133C60"/>
    <w:rsid w:val="00134D67"/>
    <w:rsid w:val="00136D56"/>
    <w:rsid w:val="001379BA"/>
    <w:rsid w:val="001416D1"/>
    <w:rsid w:val="0014398A"/>
    <w:rsid w:val="001506C5"/>
    <w:rsid w:val="00150EC7"/>
    <w:rsid w:val="00152F83"/>
    <w:rsid w:val="00153516"/>
    <w:rsid w:val="001537C0"/>
    <w:rsid w:val="00155EF5"/>
    <w:rsid w:val="00157A5A"/>
    <w:rsid w:val="00157FB2"/>
    <w:rsid w:val="00160658"/>
    <w:rsid w:val="00161B73"/>
    <w:rsid w:val="00161E02"/>
    <w:rsid w:val="00163256"/>
    <w:rsid w:val="00163A05"/>
    <w:rsid w:val="00163CC0"/>
    <w:rsid w:val="0016453D"/>
    <w:rsid w:val="001661A3"/>
    <w:rsid w:val="00167F2B"/>
    <w:rsid w:val="0017104B"/>
    <w:rsid w:val="0017179F"/>
    <w:rsid w:val="00171812"/>
    <w:rsid w:val="00172149"/>
    <w:rsid w:val="001729B4"/>
    <w:rsid w:val="00173499"/>
    <w:rsid w:val="0017481E"/>
    <w:rsid w:val="0017503B"/>
    <w:rsid w:val="00175673"/>
    <w:rsid w:val="00176431"/>
    <w:rsid w:val="00177B9F"/>
    <w:rsid w:val="00181303"/>
    <w:rsid w:val="00181C0B"/>
    <w:rsid w:val="00182160"/>
    <w:rsid w:val="001822FC"/>
    <w:rsid w:val="0018290E"/>
    <w:rsid w:val="0018359B"/>
    <w:rsid w:val="001835E1"/>
    <w:rsid w:val="00183C8E"/>
    <w:rsid w:val="001843D3"/>
    <w:rsid w:val="00190AEF"/>
    <w:rsid w:val="0019119C"/>
    <w:rsid w:val="00194112"/>
    <w:rsid w:val="001946B1"/>
    <w:rsid w:val="001949B9"/>
    <w:rsid w:val="00194AD7"/>
    <w:rsid w:val="00194E14"/>
    <w:rsid w:val="00196105"/>
    <w:rsid w:val="001965AF"/>
    <w:rsid w:val="00196880"/>
    <w:rsid w:val="00196D7C"/>
    <w:rsid w:val="00197A23"/>
    <w:rsid w:val="001A13D5"/>
    <w:rsid w:val="001A2366"/>
    <w:rsid w:val="001A3026"/>
    <w:rsid w:val="001A450C"/>
    <w:rsid w:val="001A4516"/>
    <w:rsid w:val="001A4B5E"/>
    <w:rsid w:val="001A550C"/>
    <w:rsid w:val="001A573F"/>
    <w:rsid w:val="001A5C3F"/>
    <w:rsid w:val="001A64C6"/>
    <w:rsid w:val="001A6EC3"/>
    <w:rsid w:val="001A7081"/>
    <w:rsid w:val="001A70AD"/>
    <w:rsid w:val="001A73E3"/>
    <w:rsid w:val="001A7895"/>
    <w:rsid w:val="001B03AC"/>
    <w:rsid w:val="001B238D"/>
    <w:rsid w:val="001B242B"/>
    <w:rsid w:val="001B45F2"/>
    <w:rsid w:val="001B4ACB"/>
    <w:rsid w:val="001B5E15"/>
    <w:rsid w:val="001B75E6"/>
    <w:rsid w:val="001B792D"/>
    <w:rsid w:val="001B7D84"/>
    <w:rsid w:val="001C1C03"/>
    <w:rsid w:val="001C28F8"/>
    <w:rsid w:val="001C2942"/>
    <w:rsid w:val="001C2E2C"/>
    <w:rsid w:val="001C4E97"/>
    <w:rsid w:val="001C64DB"/>
    <w:rsid w:val="001C6C57"/>
    <w:rsid w:val="001D067F"/>
    <w:rsid w:val="001D0750"/>
    <w:rsid w:val="001D0AF0"/>
    <w:rsid w:val="001D0FE0"/>
    <w:rsid w:val="001D11CE"/>
    <w:rsid w:val="001D16C2"/>
    <w:rsid w:val="001D1B62"/>
    <w:rsid w:val="001D3F48"/>
    <w:rsid w:val="001D483C"/>
    <w:rsid w:val="001D54AF"/>
    <w:rsid w:val="001D611A"/>
    <w:rsid w:val="001D6741"/>
    <w:rsid w:val="001E02C0"/>
    <w:rsid w:val="001E1445"/>
    <w:rsid w:val="001E37BA"/>
    <w:rsid w:val="001E3AE3"/>
    <w:rsid w:val="001E3DA1"/>
    <w:rsid w:val="001E4B42"/>
    <w:rsid w:val="001E7CA0"/>
    <w:rsid w:val="001F0078"/>
    <w:rsid w:val="001F2B40"/>
    <w:rsid w:val="001F3189"/>
    <w:rsid w:val="001F32D3"/>
    <w:rsid w:val="001F4083"/>
    <w:rsid w:val="001F60D5"/>
    <w:rsid w:val="001F627F"/>
    <w:rsid w:val="001F6E49"/>
    <w:rsid w:val="001F7023"/>
    <w:rsid w:val="00200174"/>
    <w:rsid w:val="00201DAE"/>
    <w:rsid w:val="00203161"/>
    <w:rsid w:val="002040A8"/>
    <w:rsid w:val="0020665C"/>
    <w:rsid w:val="00210392"/>
    <w:rsid w:val="00210550"/>
    <w:rsid w:val="00211BAC"/>
    <w:rsid w:val="00212753"/>
    <w:rsid w:val="002154B2"/>
    <w:rsid w:val="002163D5"/>
    <w:rsid w:val="002165C3"/>
    <w:rsid w:val="002170D6"/>
    <w:rsid w:val="002203EA"/>
    <w:rsid w:val="0022055B"/>
    <w:rsid w:val="0022067C"/>
    <w:rsid w:val="002207C3"/>
    <w:rsid w:val="00220F52"/>
    <w:rsid w:val="0022233D"/>
    <w:rsid w:val="0022370C"/>
    <w:rsid w:val="0022428B"/>
    <w:rsid w:val="002245D6"/>
    <w:rsid w:val="00224863"/>
    <w:rsid w:val="00224B26"/>
    <w:rsid w:val="00224D3E"/>
    <w:rsid w:val="002257FA"/>
    <w:rsid w:val="00225901"/>
    <w:rsid w:val="00225AB8"/>
    <w:rsid w:val="0022619C"/>
    <w:rsid w:val="00231D53"/>
    <w:rsid w:val="0023385B"/>
    <w:rsid w:val="00235694"/>
    <w:rsid w:val="002374D9"/>
    <w:rsid w:val="00237519"/>
    <w:rsid w:val="002378D5"/>
    <w:rsid w:val="00241DAA"/>
    <w:rsid w:val="0024233E"/>
    <w:rsid w:val="00243BAC"/>
    <w:rsid w:val="002447D2"/>
    <w:rsid w:val="00244B8C"/>
    <w:rsid w:val="00244BD6"/>
    <w:rsid w:val="00245A56"/>
    <w:rsid w:val="002466F4"/>
    <w:rsid w:val="00246884"/>
    <w:rsid w:val="002504F2"/>
    <w:rsid w:val="002522C9"/>
    <w:rsid w:val="00252352"/>
    <w:rsid w:val="00255067"/>
    <w:rsid w:val="0025585A"/>
    <w:rsid w:val="0025738E"/>
    <w:rsid w:val="002574CF"/>
    <w:rsid w:val="00262365"/>
    <w:rsid w:val="002628B9"/>
    <w:rsid w:val="002635D8"/>
    <w:rsid w:val="002644BC"/>
    <w:rsid w:val="00264B03"/>
    <w:rsid w:val="00265769"/>
    <w:rsid w:val="0026745F"/>
    <w:rsid w:val="002676A5"/>
    <w:rsid w:val="00270FD7"/>
    <w:rsid w:val="00271DB5"/>
    <w:rsid w:val="0027323D"/>
    <w:rsid w:val="00273C4E"/>
    <w:rsid w:val="0027474D"/>
    <w:rsid w:val="00274A7E"/>
    <w:rsid w:val="0027515D"/>
    <w:rsid w:val="0027624D"/>
    <w:rsid w:val="0027679B"/>
    <w:rsid w:val="00276918"/>
    <w:rsid w:val="00276ED1"/>
    <w:rsid w:val="0027792C"/>
    <w:rsid w:val="002856F0"/>
    <w:rsid w:val="002859D9"/>
    <w:rsid w:val="00285AF5"/>
    <w:rsid w:val="0028619D"/>
    <w:rsid w:val="002862B7"/>
    <w:rsid w:val="00286B3C"/>
    <w:rsid w:val="0028709C"/>
    <w:rsid w:val="00287D40"/>
    <w:rsid w:val="002913D0"/>
    <w:rsid w:val="00291D75"/>
    <w:rsid w:val="00291FA7"/>
    <w:rsid w:val="0029371D"/>
    <w:rsid w:val="00295B67"/>
    <w:rsid w:val="002971C4"/>
    <w:rsid w:val="002A165B"/>
    <w:rsid w:val="002A19D4"/>
    <w:rsid w:val="002A1BD1"/>
    <w:rsid w:val="002A1E07"/>
    <w:rsid w:val="002A22A4"/>
    <w:rsid w:val="002A2C2E"/>
    <w:rsid w:val="002A4B6C"/>
    <w:rsid w:val="002A4E9B"/>
    <w:rsid w:val="002A65CD"/>
    <w:rsid w:val="002B0ECF"/>
    <w:rsid w:val="002B166E"/>
    <w:rsid w:val="002B3B1A"/>
    <w:rsid w:val="002B40BA"/>
    <w:rsid w:val="002B7CE7"/>
    <w:rsid w:val="002C12FA"/>
    <w:rsid w:val="002C1CFC"/>
    <w:rsid w:val="002C21F9"/>
    <w:rsid w:val="002C23B7"/>
    <w:rsid w:val="002C26EB"/>
    <w:rsid w:val="002C321E"/>
    <w:rsid w:val="002C3514"/>
    <w:rsid w:val="002C42E0"/>
    <w:rsid w:val="002C4F1C"/>
    <w:rsid w:val="002C518C"/>
    <w:rsid w:val="002C53DD"/>
    <w:rsid w:val="002C6F4C"/>
    <w:rsid w:val="002C7B46"/>
    <w:rsid w:val="002C7C8C"/>
    <w:rsid w:val="002C7DD2"/>
    <w:rsid w:val="002D0F51"/>
    <w:rsid w:val="002D12AC"/>
    <w:rsid w:val="002D2118"/>
    <w:rsid w:val="002D27DC"/>
    <w:rsid w:val="002D37BE"/>
    <w:rsid w:val="002D4621"/>
    <w:rsid w:val="002E0043"/>
    <w:rsid w:val="002E029C"/>
    <w:rsid w:val="002E0B3D"/>
    <w:rsid w:val="002E0F0A"/>
    <w:rsid w:val="002E1AD7"/>
    <w:rsid w:val="002E27DC"/>
    <w:rsid w:val="002E40A2"/>
    <w:rsid w:val="002E47B4"/>
    <w:rsid w:val="002E5671"/>
    <w:rsid w:val="002E6623"/>
    <w:rsid w:val="002E7C0C"/>
    <w:rsid w:val="002F105C"/>
    <w:rsid w:val="002F11A3"/>
    <w:rsid w:val="002F3610"/>
    <w:rsid w:val="002F3FE5"/>
    <w:rsid w:val="002F4E8C"/>
    <w:rsid w:val="002F5773"/>
    <w:rsid w:val="0030104F"/>
    <w:rsid w:val="0030114D"/>
    <w:rsid w:val="00301B6E"/>
    <w:rsid w:val="00302B74"/>
    <w:rsid w:val="003032B7"/>
    <w:rsid w:val="003034D0"/>
    <w:rsid w:val="0030390D"/>
    <w:rsid w:val="0030393F"/>
    <w:rsid w:val="0030455A"/>
    <w:rsid w:val="003045EB"/>
    <w:rsid w:val="0030550A"/>
    <w:rsid w:val="00306DD7"/>
    <w:rsid w:val="00311969"/>
    <w:rsid w:val="00311B2F"/>
    <w:rsid w:val="003129E8"/>
    <w:rsid w:val="00315AB7"/>
    <w:rsid w:val="00316A0B"/>
    <w:rsid w:val="00321DB0"/>
    <w:rsid w:val="00322FB9"/>
    <w:rsid w:val="003243E3"/>
    <w:rsid w:val="00324AFE"/>
    <w:rsid w:val="00324D0F"/>
    <w:rsid w:val="003259CD"/>
    <w:rsid w:val="0032657A"/>
    <w:rsid w:val="00327F82"/>
    <w:rsid w:val="00331126"/>
    <w:rsid w:val="00331F75"/>
    <w:rsid w:val="00332E5C"/>
    <w:rsid w:val="00333E01"/>
    <w:rsid w:val="00335017"/>
    <w:rsid w:val="0033508D"/>
    <w:rsid w:val="003376BE"/>
    <w:rsid w:val="0034023F"/>
    <w:rsid w:val="00340DAD"/>
    <w:rsid w:val="003419BE"/>
    <w:rsid w:val="00341B87"/>
    <w:rsid w:val="00344A93"/>
    <w:rsid w:val="00345662"/>
    <w:rsid w:val="00345971"/>
    <w:rsid w:val="00345DE6"/>
    <w:rsid w:val="0034647B"/>
    <w:rsid w:val="00346F30"/>
    <w:rsid w:val="00350382"/>
    <w:rsid w:val="00350891"/>
    <w:rsid w:val="003523EE"/>
    <w:rsid w:val="00353DC2"/>
    <w:rsid w:val="0035498F"/>
    <w:rsid w:val="00355210"/>
    <w:rsid w:val="00355785"/>
    <w:rsid w:val="00356017"/>
    <w:rsid w:val="00357D7B"/>
    <w:rsid w:val="00357F8C"/>
    <w:rsid w:val="00362067"/>
    <w:rsid w:val="00362839"/>
    <w:rsid w:val="00362F8F"/>
    <w:rsid w:val="0036440B"/>
    <w:rsid w:val="00367DF8"/>
    <w:rsid w:val="0037383A"/>
    <w:rsid w:val="00374640"/>
    <w:rsid w:val="0037577B"/>
    <w:rsid w:val="0037707D"/>
    <w:rsid w:val="00377407"/>
    <w:rsid w:val="00377531"/>
    <w:rsid w:val="00381BB7"/>
    <w:rsid w:val="0038391A"/>
    <w:rsid w:val="00383B74"/>
    <w:rsid w:val="00385371"/>
    <w:rsid w:val="0038775F"/>
    <w:rsid w:val="00387CCC"/>
    <w:rsid w:val="003914CB"/>
    <w:rsid w:val="00391C77"/>
    <w:rsid w:val="00392734"/>
    <w:rsid w:val="00392B5E"/>
    <w:rsid w:val="00392C05"/>
    <w:rsid w:val="00393618"/>
    <w:rsid w:val="00393D41"/>
    <w:rsid w:val="003942ED"/>
    <w:rsid w:val="00394504"/>
    <w:rsid w:val="00395845"/>
    <w:rsid w:val="0039761A"/>
    <w:rsid w:val="003A0DD8"/>
    <w:rsid w:val="003A0DE6"/>
    <w:rsid w:val="003A1B51"/>
    <w:rsid w:val="003A1C6A"/>
    <w:rsid w:val="003A2593"/>
    <w:rsid w:val="003A4329"/>
    <w:rsid w:val="003A4ABF"/>
    <w:rsid w:val="003A648E"/>
    <w:rsid w:val="003A66D0"/>
    <w:rsid w:val="003A6E80"/>
    <w:rsid w:val="003A7DD4"/>
    <w:rsid w:val="003B01FE"/>
    <w:rsid w:val="003B1D79"/>
    <w:rsid w:val="003B2DE1"/>
    <w:rsid w:val="003B3615"/>
    <w:rsid w:val="003B384E"/>
    <w:rsid w:val="003B434C"/>
    <w:rsid w:val="003B44BB"/>
    <w:rsid w:val="003B51DE"/>
    <w:rsid w:val="003C0071"/>
    <w:rsid w:val="003C27C4"/>
    <w:rsid w:val="003C3016"/>
    <w:rsid w:val="003C34B8"/>
    <w:rsid w:val="003C3A3C"/>
    <w:rsid w:val="003C479C"/>
    <w:rsid w:val="003C48C5"/>
    <w:rsid w:val="003C5915"/>
    <w:rsid w:val="003C5980"/>
    <w:rsid w:val="003C6DFA"/>
    <w:rsid w:val="003C70E2"/>
    <w:rsid w:val="003C7382"/>
    <w:rsid w:val="003D04BC"/>
    <w:rsid w:val="003D36AD"/>
    <w:rsid w:val="003D3F36"/>
    <w:rsid w:val="003D5191"/>
    <w:rsid w:val="003D5B4D"/>
    <w:rsid w:val="003D60B8"/>
    <w:rsid w:val="003E04A6"/>
    <w:rsid w:val="003E1D2A"/>
    <w:rsid w:val="003E20DB"/>
    <w:rsid w:val="003E24CE"/>
    <w:rsid w:val="003E3441"/>
    <w:rsid w:val="003E3941"/>
    <w:rsid w:val="003E41C9"/>
    <w:rsid w:val="003E540D"/>
    <w:rsid w:val="003E7422"/>
    <w:rsid w:val="003E7CF9"/>
    <w:rsid w:val="003E7D3D"/>
    <w:rsid w:val="003E7E0A"/>
    <w:rsid w:val="003F0439"/>
    <w:rsid w:val="003F0CBE"/>
    <w:rsid w:val="003F1E08"/>
    <w:rsid w:val="003F2817"/>
    <w:rsid w:val="003F3107"/>
    <w:rsid w:val="003F3419"/>
    <w:rsid w:val="003F3DED"/>
    <w:rsid w:val="003F57BD"/>
    <w:rsid w:val="003F5B70"/>
    <w:rsid w:val="003F7A9C"/>
    <w:rsid w:val="004018B3"/>
    <w:rsid w:val="0040257D"/>
    <w:rsid w:val="0040323C"/>
    <w:rsid w:val="00403FBE"/>
    <w:rsid w:val="00405C23"/>
    <w:rsid w:val="004075BD"/>
    <w:rsid w:val="004078BB"/>
    <w:rsid w:val="004117E0"/>
    <w:rsid w:val="00412369"/>
    <w:rsid w:val="0041339D"/>
    <w:rsid w:val="004148A5"/>
    <w:rsid w:val="00414E64"/>
    <w:rsid w:val="00415754"/>
    <w:rsid w:val="004162E3"/>
    <w:rsid w:val="004203DD"/>
    <w:rsid w:val="00421984"/>
    <w:rsid w:val="00421ED8"/>
    <w:rsid w:val="004225F5"/>
    <w:rsid w:val="0042297B"/>
    <w:rsid w:val="00422D1A"/>
    <w:rsid w:val="00422F19"/>
    <w:rsid w:val="004239A1"/>
    <w:rsid w:val="00423B48"/>
    <w:rsid w:val="00425CE6"/>
    <w:rsid w:val="00425FE9"/>
    <w:rsid w:val="00427131"/>
    <w:rsid w:val="00427D15"/>
    <w:rsid w:val="004301AB"/>
    <w:rsid w:val="004304AE"/>
    <w:rsid w:val="004306C2"/>
    <w:rsid w:val="00431602"/>
    <w:rsid w:val="00431DA5"/>
    <w:rsid w:val="004323E9"/>
    <w:rsid w:val="00432C65"/>
    <w:rsid w:val="004339ED"/>
    <w:rsid w:val="00433B89"/>
    <w:rsid w:val="0043466C"/>
    <w:rsid w:val="00435469"/>
    <w:rsid w:val="00435C34"/>
    <w:rsid w:val="00436F7E"/>
    <w:rsid w:val="00437103"/>
    <w:rsid w:val="00437479"/>
    <w:rsid w:val="00437947"/>
    <w:rsid w:val="0044128D"/>
    <w:rsid w:val="004419D3"/>
    <w:rsid w:val="00442BCF"/>
    <w:rsid w:val="0044337C"/>
    <w:rsid w:val="00444709"/>
    <w:rsid w:val="00445790"/>
    <w:rsid w:val="0044620E"/>
    <w:rsid w:val="004464AA"/>
    <w:rsid w:val="00446895"/>
    <w:rsid w:val="00450273"/>
    <w:rsid w:val="004509A5"/>
    <w:rsid w:val="00451B66"/>
    <w:rsid w:val="0045202A"/>
    <w:rsid w:val="00452B24"/>
    <w:rsid w:val="00452CA5"/>
    <w:rsid w:val="00453A77"/>
    <w:rsid w:val="004551F3"/>
    <w:rsid w:val="004557C6"/>
    <w:rsid w:val="00455856"/>
    <w:rsid w:val="004563F1"/>
    <w:rsid w:val="00457358"/>
    <w:rsid w:val="00457464"/>
    <w:rsid w:val="004602EC"/>
    <w:rsid w:val="004603D1"/>
    <w:rsid w:val="0046144E"/>
    <w:rsid w:val="004617A6"/>
    <w:rsid w:val="0046239D"/>
    <w:rsid w:val="00462467"/>
    <w:rsid w:val="00464374"/>
    <w:rsid w:val="00464BCA"/>
    <w:rsid w:val="00466137"/>
    <w:rsid w:val="00466758"/>
    <w:rsid w:val="004674CA"/>
    <w:rsid w:val="00467531"/>
    <w:rsid w:val="00467533"/>
    <w:rsid w:val="00467FE9"/>
    <w:rsid w:val="00472A79"/>
    <w:rsid w:val="00474025"/>
    <w:rsid w:val="00474E68"/>
    <w:rsid w:val="00475E34"/>
    <w:rsid w:val="00476007"/>
    <w:rsid w:val="00476128"/>
    <w:rsid w:val="00476B67"/>
    <w:rsid w:val="0048008C"/>
    <w:rsid w:val="004809C9"/>
    <w:rsid w:val="00480BAD"/>
    <w:rsid w:val="00480C7E"/>
    <w:rsid w:val="0048184C"/>
    <w:rsid w:val="00485A0A"/>
    <w:rsid w:val="00486CF9"/>
    <w:rsid w:val="0048792B"/>
    <w:rsid w:val="00487D95"/>
    <w:rsid w:val="0049120B"/>
    <w:rsid w:val="00492048"/>
    <w:rsid w:val="00493555"/>
    <w:rsid w:val="0049475B"/>
    <w:rsid w:val="00495AEF"/>
    <w:rsid w:val="00495F03"/>
    <w:rsid w:val="004967A2"/>
    <w:rsid w:val="004967EC"/>
    <w:rsid w:val="00497CD3"/>
    <w:rsid w:val="004A044D"/>
    <w:rsid w:val="004A0A9D"/>
    <w:rsid w:val="004A1B4A"/>
    <w:rsid w:val="004A2D46"/>
    <w:rsid w:val="004A3A35"/>
    <w:rsid w:val="004A46C4"/>
    <w:rsid w:val="004A65B7"/>
    <w:rsid w:val="004A6FCA"/>
    <w:rsid w:val="004A74F0"/>
    <w:rsid w:val="004B0F48"/>
    <w:rsid w:val="004B1803"/>
    <w:rsid w:val="004B2914"/>
    <w:rsid w:val="004B2B9D"/>
    <w:rsid w:val="004B2CFB"/>
    <w:rsid w:val="004B3A7B"/>
    <w:rsid w:val="004B3C5B"/>
    <w:rsid w:val="004B3F3D"/>
    <w:rsid w:val="004B4489"/>
    <w:rsid w:val="004B46D2"/>
    <w:rsid w:val="004B506E"/>
    <w:rsid w:val="004B5D92"/>
    <w:rsid w:val="004C3412"/>
    <w:rsid w:val="004C4DAB"/>
    <w:rsid w:val="004C4E2A"/>
    <w:rsid w:val="004C50AA"/>
    <w:rsid w:val="004C56D1"/>
    <w:rsid w:val="004C572C"/>
    <w:rsid w:val="004C6B9C"/>
    <w:rsid w:val="004D0E10"/>
    <w:rsid w:val="004D1535"/>
    <w:rsid w:val="004D2C76"/>
    <w:rsid w:val="004D2D73"/>
    <w:rsid w:val="004D476D"/>
    <w:rsid w:val="004D58D5"/>
    <w:rsid w:val="004D6159"/>
    <w:rsid w:val="004D6535"/>
    <w:rsid w:val="004D71AF"/>
    <w:rsid w:val="004D7301"/>
    <w:rsid w:val="004E3E13"/>
    <w:rsid w:val="004E43A4"/>
    <w:rsid w:val="004E7408"/>
    <w:rsid w:val="004F0A9B"/>
    <w:rsid w:val="004F12E7"/>
    <w:rsid w:val="004F1DB8"/>
    <w:rsid w:val="004F2997"/>
    <w:rsid w:val="004F3292"/>
    <w:rsid w:val="004F39C1"/>
    <w:rsid w:val="004F3EDB"/>
    <w:rsid w:val="004F55EC"/>
    <w:rsid w:val="004F61DD"/>
    <w:rsid w:val="00501673"/>
    <w:rsid w:val="005024F2"/>
    <w:rsid w:val="00502569"/>
    <w:rsid w:val="00502D68"/>
    <w:rsid w:val="005035F8"/>
    <w:rsid w:val="00505D2B"/>
    <w:rsid w:val="00506204"/>
    <w:rsid w:val="00507FCB"/>
    <w:rsid w:val="00511171"/>
    <w:rsid w:val="005119F1"/>
    <w:rsid w:val="00512C1A"/>
    <w:rsid w:val="005136CC"/>
    <w:rsid w:val="00513858"/>
    <w:rsid w:val="00514B37"/>
    <w:rsid w:val="00514EEC"/>
    <w:rsid w:val="00521874"/>
    <w:rsid w:val="00521920"/>
    <w:rsid w:val="005246B1"/>
    <w:rsid w:val="00524F12"/>
    <w:rsid w:val="00527A8C"/>
    <w:rsid w:val="00530281"/>
    <w:rsid w:val="00530B04"/>
    <w:rsid w:val="005311AA"/>
    <w:rsid w:val="00531AF8"/>
    <w:rsid w:val="00531E03"/>
    <w:rsid w:val="005331D4"/>
    <w:rsid w:val="005337F6"/>
    <w:rsid w:val="005341D1"/>
    <w:rsid w:val="0053529E"/>
    <w:rsid w:val="0053651F"/>
    <w:rsid w:val="0053683E"/>
    <w:rsid w:val="00537425"/>
    <w:rsid w:val="00537B0D"/>
    <w:rsid w:val="005403E8"/>
    <w:rsid w:val="00541125"/>
    <w:rsid w:val="005421A1"/>
    <w:rsid w:val="00542990"/>
    <w:rsid w:val="00542A98"/>
    <w:rsid w:val="00542F66"/>
    <w:rsid w:val="0054518F"/>
    <w:rsid w:val="005453C5"/>
    <w:rsid w:val="0054599C"/>
    <w:rsid w:val="00545A84"/>
    <w:rsid w:val="0054703D"/>
    <w:rsid w:val="00547480"/>
    <w:rsid w:val="00551046"/>
    <w:rsid w:val="005512B8"/>
    <w:rsid w:val="0055169D"/>
    <w:rsid w:val="00551EF3"/>
    <w:rsid w:val="005521E2"/>
    <w:rsid w:val="005523E4"/>
    <w:rsid w:val="00553781"/>
    <w:rsid w:val="00553DCA"/>
    <w:rsid w:val="00554084"/>
    <w:rsid w:val="00554611"/>
    <w:rsid w:val="0055659A"/>
    <w:rsid w:val="005565EE"/>
    <w:rsid w:val="0055744A"/>
    <w:rsid w:val="00557E24"/>
    <w:rsid w:val="00560593"/>
    <w:rsid w:val="00560E6F"/>
    <w:rsid w:val="0056163A"/>
    <w:rsid w:val="00562217"/>
    <w:rsid w:val="00563BE5"/>
    <w:rsid w:val="005644EF"/>
    <w:rsid w:val="005649C7"/>
    <w:rsid w:val="00567397"/>
    <w:rsid w:val="005702B7"/>
    <w:rsid w:val="0057057B"/>
    <w:rsid w:val="0057061D"/>
    <w:rsid w:val="0057072C"/>
    <w:rsid w:val="00570F86"/>
    <w:rsid w:val="00571DF6"/>
    <w:rsid w:val="00573960"/>
    <w:rsid w:val="00573FFA"/>
    <w:rsid w:val="00574FBD"/>
    <w:rsid w:val="0057671A"/>
    <w:rsid w:val="005767B2"/>
    <w:rsid w:val="005773BB"/>
    <w:rsid w:val="0058346C"/>
    <w:rsid w:val="00583CB2"/>
    <w:rsid w:val="00585C83"/>
    <w:rsid w:val="00586604"/>
    <w:rsid w:val="00586E35"/>
    <w:rsid w:val="00586EBA"/>
    <w:rsid w:val="00586F37"/>
    <w:rsid w:val="005910C8"/>
    <w:rsid w:val="00591E8D"/>
    <w:rsid w:val="00592BF1"/>
    <w:rsid w:val="00593DC0"/>
    <w:rsid w:val="00597C03"/>
    <w:rsid w:val="005A1F9D"/>
    <w:rsid w:val="005A21F6"/>
    <w:rsid w:val="005A23BB"/>
    <w:rsid w:val="005A2F5D"/>
    <w:rsid w:val="005A3157"/>
    <w:rsid w:val="005A3798"/>
    <w:rsid w:val="005A440E"/>
    <w:rsid w:val="005A45C1"/>
    <w:rsid w:val="005A5725"/>
    <w:rsid w:val="005A5726"/>
    <w:rsid w:val="005A67E5"/>
    <w:rsid w:val="005A6D7E"/>
    <w:rsid w:val="005A7302"/>
    <w:rsid w:val="005A7C16"/>
    <w:rsid w:val="005A7E55"/>
    <w:rsid w:val="005B0F9F"/>
    <w:rsid w:val="005B434B"/>
    <w:rsid w:val="005B4E0D"/>
    <w:rsid w:val="005B5784"/>
    <w:rsid w:val="005B5BB4"/>
    <w:rsid w:val="005B7851"/>
    <w:rsid w:val="005C283E"/>
    <w:rsid w:val="005C2844"/>
    <w:rsid w:val="005C5341"/>
    <w:rsid w:val="005C6D98"/>
    <w:rsid w:val="005C7190"/>
    <w:rsid w:val="005C73FB"/>
    <w:rsid w:val="005C7752"/>
    <w:rsid w:val="005C7F3F"/>
    <w:rsid w:val="005D4792"/>
    <w:rsid w:val="005D4B08"/>
    <w:rsid w:val="005D5338"/>
    <w:rsid w:val="005D6266"/>
    <w:rsid w:val="005D62D7"/>
    <w:rsid w:val="005E189B"/>
    <w:rsid w:val="005E1ACB"/>
    <w:rsid w:val="005E2187"/>
    <w:rsid w:val="005E4ABC"/>
    <w:rsid w:val="005E4E31"/>
    <w:rsid w:val="005E4FE9"/>
    <w:rsid w:val="005E5696"/>
    <w:rsid w:val="005F19E0"/>
    <w:rsid w:val="005F3D21"/>
    <w:rsid w:val="005F3DA0"/>
    <w:rsid w:val="005F3EB4"/>
    <w:rsid w:val="005F53F7"/>
    <w:rsid w:val="005F57B5"/>
    <w:rsid w:val="005F5A76"/>
    <w:rsid w:val="005F5F2E"/>
    <w:rsid w:val="005F710F"/>
    <w:rsid w:val="005F71EC"/>
    <w:rsid w:val="005F797F"/>
    <w:rsid w:val="005F7AA1"/>
    <w:rsid w:val="00600055"/>
    <w:rsid w:val="006009E6"/>
    <w:rsid w:val="006015EB"/>
    <w:rsid w:val="006025B7"/>
    <w:rsid w:val="00602F10"/>
    <w:rsid w:val="00604FAE"/>
    <w:rsid w:val="006063B8"/>
    <w:rsid w:val="006063D5"/>
    <w:rsid w:val="00607605"/>
    <w:rsid w:val="00607A34"/>
    <w:rsid w:val="0061001E"/>
    <w:rsid w:val="00610B3C"/>
    <w:rsid w:val="0061227E"/>
    <w:rsid w:val="00612869"/>
    <w:rsid w:val="00612D20"/>
    <w:rsid w:val="006132A6"/>
    <w:rsid w:val="006144FB"/>
    <w:rsid w:val="006146EE"/>
    <w:rsid w:val="00614D6C"/>
    <w:rsid w:val="006176AB"/>
    <w:rsid w:val="00617AD5"/>
    <w:rsid w:val="00621598"/>
    <w:rsid w:val="00622319"/>
    <w:rsid w:val="00622A39"/>
    <w:rsid w:val="00622F7F"/>
    <w:rsid w:val="00623394"/>
    <w:rsid w:val="006233D6"/>
    <w:rsid w:val="006234EB"/>
    <w:rsid w:val="0062416A"/>
    <w:rsid w:val="00624EFB"/>
    <w:rsid w:val="006256F8"/>
    <w:rsid w:val="00625FB3"/>
    <w:rsid w:val="00626129"/>
    <w:rsid w:val="00626B94"/>
    <w:rsid w:val="006308F9"/>
    <w:rsid w:val="006317FD"/>
    <w:rsid w:val="00632A52"/>
    <w:rsid w:val="00633BA1"/>
    <w:rsid w:val="00633C18"/>
    <w:rsid w:val="00634414"/>
    <w:rsid w:val="00635ACE"/>
    <w:rsid w:val="00636012"/>
    <w:rsid w:val="00636987"/>
    <w:rsid w:val="00637D30"/>
    <w:rsid w:val="006403DD"/>
    <w:rsid w:val="0064073D"/>
    <w:rsid w:val="00640AE6"/>
    <w:rsid w:val="00640BB6"/>
    <w:rsid w:val="00642FCD"/>
    <w:rsid w:val="006433B2"/>
    <w:rsid w:val="00643E1F"/>
    <w:rsid w:val="00643F1E"/>
    <w:rsid w:val="00643F54"/>
    <w:rsid w:val="0064565E"/>
    <w:rsid w:val="00646C25"/>
    <w:rsid w:val="00646D0E"/>
    <w:rsid w:val="00650CAA"/>
    <w:rsid w:val="006514F0"/>
    <w:rsid w:val="00652691"/>
    <w:rsid w:val="00652DD9"/>
    <w:rsid w:val="00654145"/>
    <w:rsid w:val="006559C8"/>
    <w:rsid w:val="00657405"/>
    <w:rsid w:val="006605C2"/>
    <w:rsid w:val="0066185B"/>
    <w:rsid w:val="00661864"/>
    <w:rsid w:val="006619F5"/>
    <w:rsid w:val="00661E36"/>
    <w:rsid w:val="00663837"/>
    <w:rsid w:val="00663A00"/>
    <w:rsid w:val="00663B07"/>
    <w:rsid w:val="00664437"/>
    <w:rsid w:val="006645F6"/>
    <w:rsid w:val="00664FA6"/>
    <w:rsid w:val="00665845"/>
    <w:rsid w:val="0066632E"/>
    <w:rsid w:val="006666F0"/>
    <w:rsid w:val="00667342"/>
    <w:rsid w:val="006706DC"/>
    <w:rsid w:val="00671BB1"/>
    <w:rsid w:val="006724A7"/>
    <w:rsid w:val="0067313F"/>
    <w:rsid w:val="006732B7"/>
    <w:rsid w:val="006755ED"/>
    <w:rsid w:val="00680BA9"/>
    <w:rsid w:val="00681E5C"/>
    <w:rsid w:val="00681F38"/>
    <w:rsid w:val="00682319"/>
    <w:rsid w:val="006832A4"/>
    <w:rsid w:val="0068391C"/>
    <w:rsid w:val="00683B14"/>
    <w:rsid w:val="0068419D"/>
    <w:rsid w:val="006846E9"/>
    <w:rsid w:val="00686886"/>
    <w:rsid w:val="006872DB"/>
    <w:rsid w:val="00691999"/>
    <w:rsid w:val="006939A5"/>
    <w:rsid w:val="006953C6"/>
    <w:rsid w:val="00695ED2"/>
    <w:rsid w:val="006972B1"/>
    <w:rsid w:val="0069784E"/>
    <w:rsid w:val="006A03E4"/>
    <w:rsid w:val="006A0DD5"/>
    <w:rsid w:val="006A1022"/>
    <w:rsid w:val="006A1A83"/>
    <w:rsid w:val="006A215C"/>
    <w:rsid w:val="006A2681"/>
    <w:rsid w:val="006A2785"/>
    <w:rsid w:val="006A2C4B"/>
    <w:rsid w:val="006A4168"/>
    <w:rsid w:val="006A4819"/>
    <w:rsid w:val="006A541C"/>
    <w:rsid w:val="006A55D2"/>
    <w:rsid w:val="006A63D0"/>
    <w:rsid w:val="006B185D"/>
    <w:rsid w:val="006B26FB"/>
    <w:rsid w:val="006B2986"/>
    <w:rsid w:val="006B2DAE"/>
    <w:rsid w:val="006B42B8"/>
    <w:rsid w:val="006B50B9"/>
    <w:rsid w:val="006B6104"/>
    <w:rsid w:val="006B6E87"/>
    <w:rsid w:val="006B763D"/>
    <w:rsid w:val="006B77A6"/>
    <w:rsid w:val="006B7BC4"/>
    <w:rsid w:val="006B7EDD"/>
    <w:rsid w:val="006C1C28"/>
    <w:rsid w:val="006C1F6D"/>
    <w:rsid w:val="006C2F62"/>
    <w:rsid w:val="006C31AA"/>
    <w:rsid w:val="006C4973"/>
    <w:rsid w:val="006C5E5C"/>
    <w:rsid w:val="006D0365"/>
    <w:rsid w:val="006D037D"/>
    <w:rsid w:val="006D2068"/>
    <w:rsid w:val="006D249D"/>
    <w:rsid w:val="006D3725"/>
    <w:rsid w:val="006D4AE1"/>
    <w:rsid w:val="006D52A7"/>
    <w:rsid w:val="006D52D8"/>
    <w:rsid w:val="006D54CD"/>
    <w:rsid w:val="006D5AAB"/>
    <w:rsid w:val="006D7A90"/>
    <w:rsid w:val="006E0111"/>
    <w:rsid w:val="006E08CC"/>
    <w:rsid w:val="006E0C8B"/>
    <w:rsid w:val="006E3439"/>
    <w:rsid w:val="006E3709"/>
    <w:rsid w:val="006E3C13"/>
    <w:rsid w:val="006E5EB7"/>
    <w:rsid w:val="006F0139"/>
    <w:rsid w:val="006F0ED7"/>
    <w:rsid w:val="006F214B"/>
    <w:rsid w:val="006F28C7"/>
    <w:rsid w:val="006F2B8C"/>
    <w:rsid w:val="006F2D3B"/>
    <w:rsid w:val="006F42EA"/>
    <w:rsid w:val="006F4D73"/>
    <w:rsid w:val="006F52ED"/>
    <w:rsid w:val="007001DD"/>
    <w:rsid w:val="00700F12"/>
    <w:rsid w:val="00700F14"/>
    <w:rsid w:val="00702744"/>
    <w:rsid w:val="0070443C"/>
    <w:rsid w:val="007057D3"/>
    <w:rsid w:val="00706B82"/>
    <w:rsid w:val="00706C40"/>
    <w:rsid w:val="00706CFB"/>
    <w:rsid w:val="00710061"/>
    <w:rsid w:val="00711407"/>
    <w:rsid w:val="00712407"/>
    <w:rsid w:val="00712477"/>
    <w:rsid w:val="007139B2"/>
    <w:rsid w:val="00717C3B"/>
    <w:rsid w:val="0072055A"/>
    <w:rsid w:val="0072141D"/>
    <w:rsid w:val="00721A54"/>
    <w:rsid w:val="00721C75"/>
    <w:rsid w:val="007228DB"/>
    <w:rsid w:val="00723862"/>
    <w:rsid w:val="007262A3"/>
    <w:rsid w:val="007266C4"/>
    <w:rsid w:val="00726936"/>
    <w:rsid w:val="0072705B"/>
    <w:rsid w:val="00727D1F"/>
    <w:rsid w:val="007315FF"/>
    <w:rsid w:val="00731859"/>
    <w:rsid w:val="00732CD0"/>
    <w:rsid w:val="00733275"/>
    <w:rsid w:val="00734DF2"/>
    <w:rsid w:val="00735A4C"/>
    <w:rsid w:val="00735CB1"/>
    <w:rsid w:val="00735CF0"/>
    <w:rsid w:val="00736D00"/>
    <w:rsid w:val="007401BA"/>
    <w:rsid w:val="0074077E"/>
    <w:rsid w:val="00740904"/>
    <w:rsid w:val="00741B0E"/>
    <w:rsid w:val="00741F74"/>
    <w:rsid w:val="00742672"/>
    <w:rsid w:val="00742E8A"/>
    <w:rsid w:val="007431B7"/>
    <w:rsid w:val="00745482"/>
    <w:rsid w:val="007459F5"/>
    <w:rsid w:val="00746DDC"/>
    <w:rsid w:val="00746ED0"/>
    <w:rsid w:val="007475AA"/>
    <w:rsid w:val="0075061C"/>
    <w:rsid w:val="00751392"/>
    <w:rsid w:val="00751E98"/>
    <w:rsid w:val="00752B28"/>
    <w:rsid w:val="007531EC"/>
    <w:rsid w:val="00754727"/>
    <w:rsid w:val="00754D25"/>
    <w:rsid w:val="00755961"/>
    <w:rsid w:val="00756A18"/>
    <w:rsid w:val="00757590"/>
    <w:rsid w:val="00760D6A"/>
    <w:rsid w:val="007637DC"/>
    <w:rsid w:val="00763FAC"/>
    <w:rsid w:val="0076474B"/>
    <w:rsid w:val="007652CE"/>
    <w:rsid w:val="0076572D"/>
    <w:rsid w:val="00765936"/>
    <w:rsid w:val="00766C83"/>
    <w:rsid w:val="00767D1A"/>
    <w:rsid w:val="00767D6C"/>
    <w:rsid w:val="0077091B"/>
    <w:rsid w:val="00770A1E"/>
    <w:rsid w:val="007737D5"/>
    <w:rsid w:val="0077416A"/>
    <w:rsid w:val="0077471C"/>
    <w:rsid w:val="0077569C"/>
    <w:rsid w:val="00775A32"/>
    <w:rsid w:val="00775A54"/>
    <w:rsid w:val="007766E8"/>
    <w:rsid w:val="007769BD"/>
    <w:rsid w:val="00776C05"/>
    <w:rsid w:val="00777139"/>
    <w:rsid w:val="00777BE6"/>
    <w:rsid w:val="007816ED"/>
    <w:rsid w:val="00781731"/>
    <w:rsid w:val="007821CF"/>
    <w:rsid w:val="00783DAC"/>
    <w:rsid w:val="00784500"/>
    <w:rsid w:val="00785112"/>
    <w:rsid w:val="00786700"/>
    <w:rsid w:val="00787460"/>
    <w:rsid w:val="007878B9"/>
    <w:rsid w:val="007914DC"/>
    <w:rsid w:val="007931BC"/>
    <w:rsid w:val="00793646"/>
    <w:rsid w:val="00794E75"/>
    <w:rsid w:val="0079521E"/>
    <w:rsid w:val="0079606B"/>
    <w:rsid w:val="00796071"/>
    <w:rsid w:val="00796D77"/>
    <w:rsid w:val="007A0CB6"/>
    <w:rsid w:val="007A1510"/>
    <w:rsid w:val="007A2A41"/>
    <w:rsid w:val="007A2B40"/>
    <w:rsid w:val="007A4D97"/>
    <w:rsid w:val="007A5289"/>
    <w:rsid w:val="007A5D2F"/>
    <w:rsid w:val="007A5EEA"/>
    <w:rsid w:val="007A6869"/>
    <w:rsid w:val="007A768C"/>
    <w:rsid w:val="007A7853"/>
    <w:rsid w:val="007B0C19"/>
    <w:rsid w:val="007B2BAC"/>
    <w:rsid w:val="007B2CAC"/>
    <w:rsid w:val="007B310E"/>
    <w:rsid w:val="007B3E6B"/>
    <w:rsid w:val="007B44FB"/>
    <w:rsid w:val="007B4F0C"/>
    <w:rsid w:val="007C0E38"/>
    <w:rsid w:val="007C1421"/>
    <w:rsid w:val="007C18E3"/>
    <w:rsid w:val="007C1DEB"/>
    <w:rsid w:val="007C459A"/>
    <w:rsid w:val="007C4859"/>
    <w:rsid w:val="007C4E08"/>
    <w:rsid w:val="007D18E6"/>
    <w:rsid w:val="007D2F4C"/>
    <w:rsid w:val="007D321F"/>
    <w:rsid w:val="007D3DFF"/>
    <w:rsid w:val="007D3F38"/>
    <w:rsid w:val="007D4DB8"/>
    <w:rsid w:val="007E059E"/>
    <w:rsid w:val="007E2197"/>
    <w:rsid w:val="007E3304"/>
    <w:rsid w:val="007E3EDF"/>
    <w:rsid w:val="007E4D1F"/>
    <w:rsid w:val="007E72E9"/>
    <w:rsid w:val="007F14BA"/>
    <w:rsid w:val="007F1836"/>
    <w:rsid w:val="007F1856"/>
    <w:rsid w:val="007F1E48"/>
    <w:rsid w:val="007F3D79"/>
    <w:rsid w:val="007F40E3"/>
    <w:rsid w:val="007F4313"/>
    <w:rsid w:val="007F4605"/>
    <w:rsid w:val="007F6C7D"/>
    <w:rsid w:val="008002D9"/>
    <w:rsid w:val="008004B5"/>
    <w:rsid w:val="00800FE4"/>
    <w:rsid w:val="00801249"/>
    <w:rsid w:val="008026F6"/>
    <w:rsid w:val="00803F84"/>
    <w:rsid w:val="008043AC"/>
    <w:rsid w:val="00805B61"/>
    <w:rsid w:val="00806070"/>
    <w:rsid w:val="00806528"/>
    <w:rsid w:val="00806EE8"/>
    <w:rsid w:val="008106BD"/>
    <w:rsid w:val="00811D89"/>
    <w:rsid w:val="00812EE9"/>
    <w:rsid w:val="00814500"/>
    <w:rsid w:val="00814DFE"/>
    <w:rsid w:val="00816A19"/>
    <w:rsid w:val="008211DF"/>
    <w:rsid w:val="00822225"/>
    <w:rsid w:val="0082269A"/>
    <w:rsid w:val="00822AFD"/>
    <w:rsid w:val="00822F77"/>
    <w:rsid w:val="0082354A"/>
    <w:rsid w:val="00823CC9"/>
    <w:rsid w:val="008255D2"/>
    <w:rsid w:val="00825E37"/>
    <w:rsid w:val="008309A0"/>
    <w:rsid w:val="00832ADC"/>
    <w:rsid w:val="00833AF7"/>
    <w:rsid w:val="00834023"/>
    <w:rsid w:val="008346D1"/>
    <w:rsid w:val="00835579"/>
    <w:rsid w:val="00836F9B"/>
    <w:rsid w:val="00837487"/>
    <w:rsid w:val="008403D1"/>
    <w:rsid w:val="00840D16"/>
    <w:rsid w:val="00841DA5"/>
    <w:rsid w:val="00843B20"/>
    <w:rsid w:val="00844106"/>
    <w:rsid w:val="00844B27"/>
    <w:rsid w:val="00844D29"/>
    <w:rsid w:val="00846195"/>
    <w:rsid w:val="008468FB"/>
    <w:rsid w:val="00846FA0"/>
    <w:rsid w:val="008479B6"/>
    <w:rsid w:val="00851FAF"/>
    <w:rsid w:val="00852E07"/>
    <w:rsid w:val="00853ECA"/>
    <w:rsid w:val="008547B7"/>
    <w:rsid w:val="00855090"/>
    <w:rsid w:val="00855AA5"/>
    <w:rsid w:val="00856B9B"/>
    <w:rsid w:val="00856FFE"/>
    <w:rsid w:val="00857671"/>
    <w:rsid w:val="0086002F"/>
    <w:rsid w:val="0086032D"/>
    <w:rsid w:val="00861906"/>
    <w:rsid w:val="00861B01"/>
    <w:rsid w:val="00861FAD"/>
    <w:rsid w:val="00863F9D"/>
    <w:rsid w:val="008645F9"/>
    <w:rsid w:val="008658A4"/>
    <w:rsid w:val="0086628A"/>
    <w:rsid w:val="00866854"/>
    <w:rsid w:val="00871279"/>
    <w:rsid w:val="008716A7"/>
    <w:rsid w:val="00872913"/>
    <w:rsid w:val="008734DD"/>
    <w:rsid w:val="00873F82"/>
    <w:rsid w:val="00874B7B"/>
    <w:rsid w:val="00874F25"/>
    <w:rsid w:val="00875B3F"/>
    <w:rsid w:val="0087627B"/>
    <w:rsid w:val="00877117"/>
    <w:rsid w:val="00880CA5"/>
    <w:rsid w:val="008817B1"/>
    <w:rsid w:val="008832FA"/>
    <w:rsid w:val="008834BB"/>
    <w:rsid w:val="00883877"/>
    <w:rsid w:val="008840FA"/>
    <w:rsid w:val="008846D2"/>
    <w:rsid w:val="008862EB"/>
    <w:rsid w:val="008878B3"/>
    <w:rsid w:val="0089052D"/>
    <w:rsid w:val="00890F95"/>
    <w:rsid w:val="008910AC"/>
    <w:rsid w:val="0089311A"/>
    <w:rsid w:val="0089384D"/>
    <w:rsid w:val="00893A0F"/>
    <w:rsid w:val="00893B17"/>
    <w:rsid w:val="008946C3"/>
    <w:rsid w:val="008948E0"/>
    <w:rsid w:val="00894C64"/>
    <w:rsid w:val="0089528C"/>
    <w:rsid w:val="008959EB"/>
    <w:rsid w:val="008A0089"/>
    <w:rsid w:val="008A76D2"/>
    <w:rsid w:val="008A7C66"/>
    <w:rsid w:val="008B034D"/>
    <w:rsid w:val="008B050D"/>
    <w:rsid w:val="008B0BBC"/>
    <w:rsid w:val="008B13FB"/>
    <w:rsid w:val="008B245C"/>
    <w:rsid w:val="008B4153"/>
    <w:rsid w:val="008B4F64"/>
    <w:rsid w:val="008B5356"/>
    <w:rsid w:val="008B58A6"/>
    <w:rsid w:val="008B609A"/>
    <w:rsid w:val="008B6990"/>
    <w:rsid w:val="008B7927"/>
    <w:rsid w:val="008C094E"/>
    <w:rsid w:val="008C4770"/>
    <w:rsid w:val="008C58F5"/>
    <w:rsid w:val="008C6920"/>
    <w:rsid w:val="008C6AD1"/>
    <w:rsid w:val="008C71B5"/>
    <w:rsid w:val="008D1D1E"/>
    <w:rsid w:val="008D3D2D"/>
    <w:rsid w:val="008D4644"/>
    <w:rsid w:val="008E3605"/>
    <w:rsid w:val="008E36B3"/>
    <w:rsid w:val="008E431F"/>
    <w:rsid w:val="008E5E12"/>
    <w:rsid w:val="008E613B"/>
    <w:rsid w:val="008F0D2A"/>
    <w:rsid w:val="008F103A"/>
    <w:rsid w:val="008F12D4"/>
    <w:rsid w:val="008F17A0"/>
    <w:rsid w:val="008F1814"/>
    <w:rsid w:val="008F23EF"/>
    <w:rsid w:val="008F3190"/>
    <w:rsid w:val="008F386F"/>
    <w:rsid w:val="008F44BE"/>
    <w:rsid w:val="008F47EF"/>
    <w:rsid w:val="008F48E1"/>
    <w:rsid w:val="008F5BD0"/>
    <w:rsid w:val="008F627B"/>
    <w:rsid w:val="008F6A88"/>
    <w:rsid w:val="008F716F"/>
    <w:rsid w:val="008F7B36"/>
    <w:rsid w:val="008F7FED"/>
    <w:rsid w:val="009003FE"/>
    <w:rsid w:val="00901955"/>
    <w:rsid w:val="00903C95"/>
    <w:rsid w:val="00904272"/>
    <w:rsid w:val="009046D4"/>
    <w:rsid w:val="00904793"/>
    <w:rsid w:val="009058DB"/>
    <w:rsid w:val="009075B6"/>
    <w:rsid w:val="0091026E"/>
    <w:rsid w:val="009104F7"/>
    <w:rsid w:val="0091058D"/>
    <w:rsid w:val="00911711"/>
    <w:rsid w:val="00912B55"/>
    <w:rsid w:val="00913858"/>
    <w:rsid w:val="00913A0F"/>
    <w:rsid w:val="00914959"/>
    <w:rsid w:val="00914BBC"/>
    <w:rsid w:val="00914FD8"/>
    <w:rsid w:val="00915CE6"/>
    <w:rsid w:val="009162DA"/>
    <w:rsid w:val="009168A1"/>
    <w:rsid w:val="00917583"/>
    <w:rsid w:val="00920871"/>
    <w:rsid w:val="0092106C"/>
    <w:rsid w:val="00923BC4"/>
    <w:rsid w:val="00924681"/>
    <w:rsid w:val="00925A4C"/>
    <w:rsid w:val="0092622E"/>
    <w:rsid w:val="00926605"/>
    <w:rsid w:val="00927AA4"/>
    <w:rsid w:val="00930877"/>
    <w:rsid w:val="00930D20"/>
    <w:rsid w:val="009314F2"/>
    <w:rsid w:val="00937012"/>
    <w:rsid w:val="0093753A"/>
    <w:rsid w:val="0094003D"/>
    <w:rsid w:val="00941175"/>
    <w:rsid w:val="0094273F"/>
    <w:rsid w:val="009439B0"/>
    <w:rsid w:val="0094403C"/>
    <w:rsid w:val="009440BF"/>
    <w:rsid w:val="00944954"/>
    <w:rsid w:val="0094555E"/>
    <w:rsid w:val="00945CB0"/>
    <w:rsid w:val="00946012"/>
    <w:rsid w:val="0094667E"/>
    <w:rsid w:val="00946A66"/>
    <w:rsid w:val="00946BD7"/>
    <w:rsid w:val="00946F4B"/>
    <w:rsid w:val="00950D07"/>
    <w:rsid w:val="00951188"/>
    <w:rsid w:val="00951AF4"/>
    <w:rsid w:val="0095234F"/>
    <w:rsid w:val="009550BB"/>
    <w:rsid w:val="00955CBA"/>
    <w:rsid w:val="00956A95"/>
    <w:rsid w:val="00960F2F"/>
    <w:rsid w:val="009634F6"/>
    <w:rsid w:val="00963B5E"/>
    <w:rsid w:val="00963FA0"/>
    <w:rsid w:val="0096491F"/>
    <w:rsid w:val="00964FCB"/>
    <w:rsid w:val="00970C80"/>
    <w:rsid w:val="00971008"/>
    <w:rsid w:val="009732CE"/>
    <w:rsid w:val="00974E95"/>
    <w:rsid w:val="00975F2D"/>
    <w:rsid w:val="00976962"/>
    <w:rsid w:val="00977BF5"/>
    <w:rsid w:val="009800D7"/>
    <w:rsid w:val="00981F74"/>
    <w:rsid w:val="00981F99"/>
    <w:rsid w:val="00982FEE"/>
    <w:rsid w:val="0098302D"/>
    <w:rsid w:val="009842A2"/>
    <w:rsid w:val="00984EDC"/>
    <w:rsid w:val="00987608"/>
    <w:rsid w:val="0098777A"/>
    <w:rsid w:val="00991891"/>
    <w:rsid w:val="00993AE3"/>
    <w:rsid w:val="00993B07"/>
    <w:rsid w:val="009943A0"/>
    <w:rsid w:val="009953BC"/>
    <w:rsid w:val="0099543E"/>
    <w:rsid w:val="009963D2"/>
    <w:rsid w:val="00997CC3"/>
    <w:rsid w:val="009A0568"/>
    <w:rsid w:val="009A078C"/>
    <w:rsid w:val="009A0AF9"/>
    <w:rsid w:val="009A16BE"/>
    <w:rsid w:val="009A210C"/>
    <w:rsid w:val="009A2337"/>
    <w:rsid w:val="009A2E00"/>
    <w:rsid w:val="009A355A"/>
    <w:rsid w:val="009A3B09"/>
    <w:rsid w:val="009A4AD6"/>
    <w:rsid w:val="009A5369"/>
    <w:rsid w:val="009A557E"/>
    <w:rsid w:val="009A5CE8"/>
    <w:rsid w:val="009A5F69"/>
    <w:rsid w:val="009A5FBE"/>
    <w:rsid w:val="009A7074"/>
    <w:rsid w:val="009A7B5A"/>
    <w:rsid w:val="009A7F79"/>
    <w:rsid w:val="009B1119"/>
    <w:rsid w:val="009B277A"/>
    <w:rsid w:val="009B2BDC"/>
    <w:rsid w:val="009B2C19"/>
    <w:rsid w:val="009B5F5D"/>
    <w:rsid w:val="009B6201"/>
    <w:rsid w:val="009B73BA"/>
    <w:rsid w:val="009C0EEA"/>
    <w:rsid w:val="009C10D9"/>
    <w:rsid w:val="009C1B14"/>
    <w:rsid w:val="009C20A2"/>
    <w:rsid w:val="009C425A"/>
    <w:rsid w:val="009C4F43"/>
    <w:rsid w:val="009C5CA7"/>
    <w:rsid w:val="009D01D1"/>
    <w:rsid w:val="009D03F8"/>
    <w:rsid w:val="009D096F"/>
    <w:rsid w:val="009D1DF4"/>
    <w:rsid w:val="009D283C"/>
    <w:rsid w:val="009D3971"/>
    <w:rsid w:val="009D43A6"/>
    <w:rsid w:val="009D7A24"/>
    <w:rsid w:val="009E00E4"/>
    <w:rsid w:val="009E01EA"/>
    <w:rsid w:val="009E0D20"/>
    <w:rsid w:val="009E0F68"/>
    <w:rsid w:val="009E0F6B"/>
    <w:rsid w:val="009E175A"/>
    <w:rsid w:val="009E1DB3"/>
    <w:rsid w:val="009E2422"/>
    <w:rsid w:val="009E2964"/>
    <w:rsid w:val="009E3EB3"/>
    <w:rsid w:val="009E423C"/>
    <w:rsid w:val="009E4660"/>
    <w:rsid w:val="009E5384"/>
    <w:rsid w:val="009E5D18"/>
    <w:rsid w:val="009E7AFF"/>
    <w:rsid w:val="009E7DCD"/>
    <w:rsid w:val="009F3249"/>
    <w:rsid w:val="009F55F9"/>
    <w:rsid w:val="009F5CC0"/>
    <w:rsid w:val="009F6842"/>
    <w:rsid w:val="009F6F8B"/>
    <w:rsid w:val="009F7164"/>
    <w:rsid w:val="00A022C3"/>
    <w:rsid w:val="00A0291E"/>
    <w:rsid w:val="00A02F0A"/>
    <w:rsid w:val="00A03509"/>
    <w:rsid w:val="00A06A53"/>
    <w:rsid w:val="00A06A54"/>
    <w:rsid w:val="00A071AC"/>
    <w:rsid w:val="00A103E8"/>
    <w:rsid w:val="00A1074D"/>
    <w:rsid w:val="00A10863"/>
    <w:rsid w:val="00A11172"/>
    <w:rsid w:val="00A127DD"/>
    <w:rsid w:val="00A12D4A"/>
    <w:rsid w:val="00A14E6C"/>
    <w:rsid w:val="00A16482"/>
    <w:rsid w:val="00A167EC"/>
    <w:rsid w:val="00A16D01"/>
    <w:rsid w:val="00A16E2E"/>
    <w:rsid w:val="00A16EE6"/>
    <w:rsid w:val="00A172E6"/>
    <w:rsid w:val="00A17D1C"/>
    <w:rsid w:val="00A209A2"/>
    <w:rsid w:val="00A20CBF"/>
    <w:rsid w:val="00A20F0E"/>
    <w:rsid w:val="00A24C8D"/>
    <w:rsid w:val="00A2542A"/>
    <w:rsid w:val="00A25718"/>
    <w:rsid w:val="00A2588A"/>
    <w:rsid w:val="00A264B8"/>
    <w:rsid w:val="00A26F15"/>
    <w:rsid w:val="00A277D0"/>
    <w:rsid w:val="00A306B3"/>
    <w:rsid w:val="00A30E37"/>
    <w:rsid w:val="00A317FF"/>
    <w:rsid w:val="00A32930"/>
    <w:rsid w:val="00A32B30"/>
    <w:rsid w:val="00A34641"/>
    <w:rsid w:val="00A34674"/>
    <w:rsid w:val="00A3494F"/>
    <w:rsid w:val="00A35CD2"/>
    <w:rsid w:val="00A35CF8"/>
    <w:rsid w:val="00A35F44"/>
    <w:rsid w:val="00A360E7"/>
    <w:rsid w:val="00A36BC0"/>
    <w:rsid w:val="00A400FB"/>
    <w:rsid w:val="00A43C4F"/>
    <w:rsid w:val="00A43F43"/>
    <w:rsid w:val="00A443D1"/>
    <w:rsid w:val="00A456B3"/>
    <w:rsid w:val="00A476DC"/>
    <w:rsid w:val="00A47BFE"/>
    <w:rsid w:val="00A50359"/>
    <w:rsid w:val="00A50635"/>
    <w:rsid w:val="00A508FD"/>
    <w:rsid w:val="00A50DBA"/>
    <w:rsid w:val="00A51808"/>
    <w:rsid w:val="00A51D78"/>
    <w:rsid w:val="00A51EA8"/>
    <w:rsid w:val="00A543D1"/>
    <w:rsid w:val="00A549C3"/>
    <w:rsid w:val="00A55DE2"/>
    <w:rsid w:val="00A55E10"/>
    <w:rsid w:val="00A55F1F"/>
    <w:rsid w:val="00A561A8"/>
    <w:rsid w:val="00A562A6"/>
    <w:rsid w:val="00A57045"/>
    <w:rsid w:val="00A60011"/>
    <w:rsid w:val="00A63635"/>
    <w:rsid w:val="00A64106"/>
    <w:rsid w:val="00A6703C"/>
    <w:rsid w:val="00A7007B"/>
    <w:rsid w:val="00A71623"/>
    <w:rsid w:val="00A72135"/>
    <w:rsid w:val="00A73BD7"/>
    <w:rsid w:val="00A73E6D"/>
    <w:rsid w:val="00A758B1"/>
    <w:rsid w:val="00A75E9C"/>
    <w:rsid w:val="00A777F4"/>
    <w:rsid w:val="00A81C79"/>
    <w:rsid w:val="00A824D5"/>
    <w:rsid w:val="00A82768"/>
    <w:rsid w:val="00A847A5"/>
    <w:rsid w:val="00A84B87"/>
    <w:rsid w:val="00A84D4B"/>
    <w:rsid w:val="00A84FD0"/>
    <w:rsid w:val="00A8592D"/>
    <w:rsid w:val="00A8629D"/>
    <w:rsid w:val="00A90D08"/>
    <w:rsid w:val="00A913BA"/>
    <w:rsid w:val="00A91632"/>
    <w:rsid w:val="00A93FFF"/>
    <w:rsid w:val="00A94774"/>
    <w:rsid w:val="00A95196"/>
    <w:rsid w:val="00A95746"/>
    <w:rsid w:val="00A95996"/>
    <w:rsid w:val="00A95A8F"/>
    <w:rsid w:val="00A96D45"/>
    <w:rsid w:val="00A97045"/>
    <w:rsid w:val="00A973EE"/>
    <w:rsid w:val="00AA0317"/>
    <w:rsid w:val="00AA18DD"/>
    <w:rsid w:val="00AA1F91"/>
    <w:rsid w:val="00AA3687"/>
    <w:rsid w:val="00AA4A07"/>
    <w:rsid w:val="00AA5CE1"/>
    <w:rsid w:val="00AB184B"/>
    <w:rsid w:val="00AB1CB6"/>
    <w:rsid w:val="00AB2D9E"/>
    <w:rsid w:val="00AB31B9"/>
    <w:rsid w:val="00AB4404"/>
    <w:rsid w:val="00AB603C"/>
    <w:rsid w:val="00AB788B"/>
    <w:rsid w:val="00AC0375"/>
    <w:rsid w:val="00AC154C"/>
    <w:rsid w:val="00AC21EE"/>
    <w:rsid w:val="00AC3B22"/>
    <w:rsid w:val="00AC3FAD"/>
    <w:rsid w:val="00AC40A4"/>
    <w:rsid w:val="00AC4101"/>
    <w:rsid w:val="00AC4914"/>
    <w:rsid w:val="00AC5597"/>
    <w:rsid w:val="00AC71C4"/>
    <w:rsid w:val="00AD0116"/>
    <w:rsid w:val="00AD1173"/>
    <w:rsid w:val="00AD1AD4"/>
    <w:rsid w:val="00AD1B42"/>
    <w:rsid w:val="00AD2273"/>
    <w:rsid w:val="00AD2871"/>
    <w:rsid w:val="00AD322C"/>
    <w:rsid w:val="00AD4B84"/>
    <w:rsid w:val="00AD5D06"/>
    <w:rsid w:val="00AD6A16"/>
    <w:rsid w:val="00AE0F1E"/>
    <w:rsid w:val="00AE1753"/>
    <w:rsid w:val="00AE23BE"/>
    <w:rsid w:val="00AE2EAC"/>
    <w:rsid w:val="00AE2EBA"/>
    <w:rsid w:val="00AE5772"/>
    <w:rsid w:val="00AE7EC9"/>
    <w:rsid w:val="00AF07E7"/>
    <w:rsid w:val="00AF0AC0"/>
    <w:rsid w:val="00AF16E0"/>
    <w:rsid w:val="00AF44E8"/>
    <w:rsid w:val="00AF4CA9"/>
    <w:rsid w:val="00AF5B52"/>
    <w:rsid w:val="00AF654B"/>
    <w:rsid w:val="00AF7879"/>
    <w:rsid w:val="00B0079A"/>
    <w:rsid w:val="00B00818"/>
    <w:rsid w:val="00B008BF"/>
    <w:rsid w:val="00B00EC3"/>
    <w:rsid w:val="00B03A1A"/>
    <w:rsid w:val="00B03E13"/>
    <w:rsid w:val="00B04283"/>
    <w:rsid w:val="00B04A30"/>
    <w:rsid w:val="00B052BA"/>
    <w:rsid w:val="00B067C0"/>
    <w:rsid w:val="00B07460"/>
    <w:rsid w:val="00B1022B"/>
    <w:rsid w:val="00B10338"/>
    <w:rsid w:val="00B114EC"/>
    <w:rsid w:val="00B1151C"/>
    <w:rsid w:val="00B11E06"/>
    <w:rsid w:val="00B13099"/>
    <w:rsid w:val="00B133B8"/>
    <w:rsid w:val="00B1397D"/>
    <w:rsid w:val="00B1563B"/>
    <w:rsid w:val="00B15EF4"/>
    <w:rsid w:val="00B16195"/>
    <w:rsid w:val="00B16978"/>
    <w:rsid w:val="00B16A40"/>
    <w:rsid w:val="00B16BE4"/>
    <w:rsid w:val="00B17023"/>
    <w:rsid w:val="00B170B1"/>
    <w:rsid w:val="00B17EBB"/>
    <w:rsid w:val="00B237C6"/>
    <w:rsid w:val="00B24A6F"/>
    <w:rsid w:val="00B260D9"/>
    <w:rsid w:val="00B278DB"/>
    <w:rsid w:val="00B30D4F"/>
    <w:rsid w:val="00B30D5C"/>
    <w:rsid w:val="00B32438"/>
    <w:rsid w:val="00B32B37"/>
    <w:rsid w:val="00B33805"/>
    <w:rsid w:val="00B3434E"/>
    <w:rsid w:val="00B34A3E"/>
    <w:rsid w:val="00B351FD"/>
    <w:rsid w:val="00B35BFD"/>
    <w:rsid w:val="00B40854"/>
    <w:rsid w:val="00B40B13"/>
    <w:rsid w:val="00B421F2"/>
    <w:rsid w:val="00B42822"/>
    <w:rsid w:val="00B42C54"/>
    <w:rsid w:val="00B4395A"/>
    <w:rsid w:val="00B4553E"/>
    <w:rsid w:val="00B45901"/>
    <w:rsid w:val="00B4610D"/>
    <w:rsid w:val="00B4618E"/>
    <w:rsid w:val="00B46773"/>
    <w:rsid w:val="00B47091"/>
    <w:rsid w:val="00B47E14"/>
    <w:rsid w:val="00B500F9"/>
    <w:rsid w:val="00B52BB4"/>
    <w:rsid w:val="00B53146"/>
    <w:rsid w:val="00B54256"/>
    <w:rsid w:val="00B545F4"/>
    <w:rsid w:val="00B56303"/>
    <w:rsid w:val="00B56D7B"/>
    <w:rsid w:val="00B56D9D"/>
    <w:rsid w:val="00B573DA"/>
    <w:rsid w:val="00B5749B"/>
    <w:rsid w:val="00B57599"/>
    <w:rsid w:val="00B57FB2"/>
    <w:rsid w:val="00B607B6"/>
    <w:rsid w:val="00B61F2F"/>
    <w:rsid w:val="00B63199"/>
    <w:rsid w:val="00B64F62"/>
    <w:rsid w:val="00B65321"/>
    <w:rsid w:val="00B65D3A"/>
    <w:rsid w:val="00B66898"/>
    <w:rsid w:val="00B67AB6"/>
    <w:rsid w:val="00B7164C"/>
    <w:rsid w:val="00B71BA8"/>
    <w:rsid w:val="00B72CBC"/>
    <w:rsid w:val="00B74C95"/>
    <w:rsid w:val="00B76E14"/>
    <w:rsid w:val="00B76ED2"/>
    <w:rsid w:val="00B770C7"/>
    <w:rsid w:val="00B77EAF"/>
    <w:rsid w:val="00B807AB"/>
    <w:rsid w:val="00B80F53"/>
    <w:rsid w:val="00B8152D"/>
    <w:rsid w:val="00B82E26"/>
    <w:rsid w:val="00B87D48"/>
    <w:rsid w:val="00B910F3"/>
    <w:rsid w:val="00B91A7C"/>
    <w:rsid w:val="00B92560"/>
    <w:rsid w:val="00B93DB5"/>
    <w:rsid w:val="00B93F2D"/>
    <w:rsid w:val="00B95781"/>
    <w:rsid w:val="00B957F5"/>
    <w:rsid w:val="00B95AC6"/>
    <w:rsid w:val="00B95FB8"/>
    <w:rsid w:val="00B95FBC"/>
    <w:rsid w:val="00B97C44"/>
    <w:rsid w:val="00B97E98"/>
    <w:rsid w:val="00BA05AE"/>
    <w:rsid w:val="00BA0706"/>
    <w:rsid w:val="00BA22F7"/>
    <w:rsid w:val="00BA2FA3"/>
    <w:rsid w:val="00BA46E0"/>
    <w:rsid w:val="00BA6418"/>
    <w:rsid w:val="00BA7D18"/>
    <w:rsid w:val="00BB0704"/>
    <w:rsid w:val="00BB1ADF"/>
    <w:rsid w:val="00BB3A8F"/>
    <w:rsid w:val="00BB4259"/>
    <w:rsid w:val="00BB4412"/>
    <w:rsid w:val="00BB5014"/>
    <w:rsid w:val="00BB5572"/>
    <w:rsid w:val="00BB5BA3"/>
    <w:rsid w:val="00BB6909"/>
    <w:rsid w:val="00BC000F"/>
    <w:rsid w:val="00BC00FC"/>
    <w:rsid w:val="00BC2214"/>
    <w:rsid w:val="00BC2543"/>
    <w:rsid w:val="00BC2759"/>
    <w:rsid w:val="00BC2A83"/>
    <w:rsid w:val="00BC65D5"/>
    <w:rsid w:val="00BC69E5"/>
    <w:rsid w:val="00BD020A"/>
    <w:rsid w:val="00BD0AF8"/>
    <w:rsid w:val="00BD0D15"/>
    <w:rsid w:val="00BD33EA"/>
    <w:rsid w:val="00BD5425"/>
    <w:rsid w:val="00BE06A4"/>
    <w:rsid w:val="00BE0CE8"/>
    <w:rsid w:val="00BE42FF"/>
    <w:rsid w:val="00BE5E8F"/>
    <w:rsid w:val="00BE7E1F"/>
    <w:rsid w:val="00BF0332"/>
    <w:rsid w:val="00BF25A5"/>
    <w:rsid w:val="00BF2BFE"/>
    <w:rsid w:val="00BF592C"/>
    <w:rsid w:val="00BF5FCC"/>
    <w:rsid w:val="00BF6689"/>
    <w:rsid w:val="00C021B1"/>
    <w:rsid w:val="00C0244F"/>
    <w:rsid w:val="00C0256C"/>
    <w:rsid w:val="00C04CC3"/>
    <w:rsid w:val="00C069A2"/>
    <w:rsid w:val="00C069EC"/>
    <w:rsid w:val="00C10056"/>
    <w:rsid w:val="00C10797"/>
    <w:rsid w:val="00C1152F"/>
    <w:rsid w:val="00C1628E"/>
    <w:rsid w:val="00C17416"/>
    <w:rsid w:val="00C1748F"/>
    <w:rsid w:val="00C201F2"/>
    <w:rsid w:val="00C21125"/>
    <w:rsid w:val="00C221D5"/>
    <w:rsid w:val="00C2280A"/>
    <w:rsid w:val="00C23D12"/>
    <w:rsid w:val="00C242B8"/>
    <w:rsid w:val="00C24A95"/>
    <w:rsid w:val="00C2652B"/>
    <w:rsid w:val="00C26840"/>
    <w:rsid w:val="00C30598"/>
    <w:rsid w:val="00C343EA"/>
    <w:rsid w:val="00C37145"/>
    <w:rsid w:val="00C37B98"/>
    <w:rsid w:val="00C40C39"/>
    <w:rsid w:val="00C41E71"/>
    <w:rsid w:val="00C4242C"/>
    <w:rsid w:val="00C426D4"/>
    <w:rsid w:val="00C45360"/>
    <w:rsid w:val="00C45648"/>
    <w:rsid w:val="00C45BD8"/>
    <w:rsid w:val="00C45C85"/>
    <w:rsid w:val="00C45D69"/>
    <w:rsid w:val="00C46744"/>
    <w:rsid w:val="00C50281"/>
    <w:rsid w:val="00C51198"/>
    <w:rsid w:val="00C51681"/>
    <w:rsid w:val="00C529AD"/>
    <w:rsid w:val="00C533E6"/>
    <w:rsid w:val="00C53AB3"/>
    <w:rsid w:val="00C549CC"/>
    <w:rsid w:val="00C54DA2"/>
    <w:rsid w:val="00C55BF6"/>
    <w:rsid w:val="00C56730"/>
    <w:rsid w:val="00C56D32"/>
    <w:rsid w:val="00C57883"/>
    <w:rsid w:val="00C6024F"/>
    <w:rsid w:val="00C60CE3"/>
    <w:rsid w:val="00C61CF9"/>
    <w:rsid w:val="00C61FFE"/>
    <w:rsid w:val="00C6336E"/>
    <w:rsid w:val="00C63D95"/>
    <w:rsid w:val="00C64B94"/>
    <w:rsid w:val="00C650AE"/>
    <w:rsid w:val="00C65B64"/>
    <w:rsid w:val="00C66F13"/>
    <w:rsid w:val="00C70460"/>
    <w:rsid w:val="00C7064F"/>
    <w:rsid w:val="00C7070C"/>
    <w:rsid w:val="00C7077F"/>
    <w:rsid w:val="00C72DC1"/>
    <w:rsid w:val="00C7357C"/>
    <w:rsid w:val="00C7380E"/>
    <w:rsid w:val="00C739BF"/>
    <w:rsid w:val="00C7647E"/>
    <w:rsid w:val="00C767FF"/>
    <w:rsid w:val="00C76C24"/>
    <w:rsid w:val="00C80E3F"/>
    <w:rsid w:val="00C81BD1"/>
    <w:rsid w:val="00C82494"/>
    <w:rsid w:val="00C8396C"/>
    <w:rsid w:val="00C8399F"/>
    <w:rsid w:val="00C84C02"/>
    <w:rsid w:val="00C85C21"/>
    <w:rsid w:val="00C86504"/>
    <w:rsid w:val="00C8756C"/>
    <w:rsid w:val="00C90663"/>
    <w:rsid w:val="00C90E2B"/>
    <w:rsid w:val="00C924AA"/>
    <w:rsid w:val="00C92E70"/>
    <w:rsid w:val="00C93DCA"/>
    <w:rsid w:val="00C93E64"/>
    <w:rsid w:val="00CA01FC"/>
    <w:rsid w:val="00CA071B"/>
    <w:rsid w:val="00CA0DD1"/>
    <w:rsid w:val="00CA1624"/>
    <w:rsid w:val="00CA304C"/>
    <w:rsid w:val="00CA5466"/>
    <w:rsid w:val="00CA54CC"/>
    <w:rsid w:val="00CA5904"/>
    <w:rsid w:val="00CA734B"/>
    <w:rsid w:val="00CB0475"/>
    <w:rsid w:val="00CB0CC3"/>
    <w:rsid w:val="00CB1003"/>
    <w:rsid w:val="00CB1B1E"/>
    <w:rsid w:val="00CB1DB5"/>
    <w:rsid w:val="00CB221B"/>
    <w:rsid w:val="00CB2C4F"/>
    <w:rsid w:val="00CB3583"/>
    <w:rsid w:val="00CB4218"/>
    <w:rsid w:val="00CB4540"/>
    <w:rsid w:val="00CB6A8C"/>
    <w:rsid w:val="00CC0B10"/>
    <w:rsid w:val="00CC157D"/>
    <w:rsid w:val="00CC34FF"/>
    <w:rsid w:val="00CC3ABC"/>
    <w:rsid w:val="00CC44F0"/>
    <w:rsid w:val="00CC57DC"/>
    <w:rsid w:val="00CC6DB2"/>
    <w:rsid w:val="00CD0E5B"/>
    <w:rsid w:val="00CD0FE9"/>
    <w:rsid w:val="00CD23C8"/>
    <w:rsid w:val="00CD299C"/>
    <w:rsid w:val="00CD29E4"/>
    <w:rsid w:val="00CD2C49"/>
    <w:rsid w:val="00CD3105"/>
    <w:rsid w:val="00CD396E"/>
    <w:rsid w:val="00CD3B08"/>
    <w:rsid w:val="00CD3C38"/>
    <w:rsid w:val="00CD46F6"/>
    <w:rsid w:val="00CD5104"/>
    <w:rsid w:val="00CD6046"/>
    <w:rsid w:val="00CD60D3"/>
    <w:rsid w:val="00CD6EA2"/>
    <w:rsid w:val="00CE06A5"/>
    <w:rsid w:val="00CE0DF1"/>
    <w:rsid w:val="00CE202E"/>
    <w:rsid w:val="00CE2229"/>
    <w:rsid w:val="00CE28F2"/>
    <w:rsid w:val="00CE374E"/>
    <w:rsid w:val="00CE475A"/>
    <w:rsid w:val="00CF0534"/>
    <w:rsid w:val="00CF0805"/>
    <w:rsid w:val="00CF1DF8"/>
    <w:rsid w:val="00CF3FF0"/>
    <w:rsid w:val="00CF41AF"/>
    <w:rsid w:val="00CF4567"/>
    <w:rsid w:val="00CF48D7"/>
    <w:rsid w:val="00CF53AB"/>
    <w:rsid w:val="00CF6815"/>
    <w:rsid w:val="00D04520"/>
    <w:rsid w:val="00D04D3D"/>
    <w:rsid w:val="00D05371"/>
    <w:rsid w:val="00D06C45"/>
    <w:rsid w:val="00D101C7"/>
    <w:rsid w:val="00D1143A"/>
    <w:rsid w:val="00D11B02"/>
    <w:rsid w:val="00D1202C"/>
    <w:rsid w:val="00D12617"/>
    <w:rsid w:val="00D12AFE"/>
    <w:rsid w:val="00D161B2"/>
    <w:rsid w:val="00D16DDF"/>
    <w:rsid w:val="00D16E24"/>
    <w:rsid w:val="00D171B6"/>
    <w:rsid w:val="00D17AC6"/>
    <w:rsid w:val="00D17F75"/>
    <w:rsid w:val="00D200C0"/>
    <w:rsid w:val="00D20486"/>
    <w:rsid w:val="00D211F3"/>
    <w:rsid w:val="00D228D8"/>
    <w:rsid w:val="00D2547D"/>
    <w:rsid w:val="00D26FA7"/>
    <w:rsid w:val="00D31439"/>
    <w:rsid w:val="00D33285"/>
    <w:rsid w:val="00D33677"/>
    <w:rsid w:val="00D36BDD"/>
    <w:rsid w:val="00D3706F"/>
    <w:rsid w:val="00D373EC"/>
    <w:rsid w:val="00D40FFE"/>
    <w:rsid w:val="00D4180D"/>
    <w:rsid w:val="00D41B01"/>
    <w:rsid w:val="00D42875"/>
    <w:rsid w:val="00D42B44"/>
    <w:rsid w:val="00D4390C"/>
    <w:rsid w:val="00D44A14"/>
    <w:rsid w:val="00D46E0B"/>
    <w:rsid w:val="00D4710E"/>
    <w:rsid w:val="00D47738"/>
    <w:rsid w:val="00D47A1A"/>
    <w:rsid w:val="00D47D36"/>
    <w:rsid w:val="00D502EB"/>
    <w:rsid w:val="00D51A9B"/>
    <w:rsid w:val="00D51D95"/>
    <w:rsid w:val="00D521A2"/>
    <w:rsid w:val="00D53EC6"/>
    <w:rsid w:val="00D54593"/>
    <w:rsid w:val="00D5545A"/>
    <w:rsid w:val="00D55A00"/>
    <w:rsid w:val="00D56F77"/>
    <w:rsid w:val="00D57F5A"/>
    <w:rsid w:val="00D606E9"/>
    <w:rsid w:val="00D60997"/>
    <w:rsid w:val="00D60DB3"/>
    <w:rsid w:val="00D61E9F"/>
    <w:rsid w:val="00D62A2D"/>
    <w:rsid w:val="00D62CC8"/>
    <w:rsid w:val="00D63232"/>
    <w:rsid w:val="00D6402F"/>
    <w:rsid w:val="00D64983"/>
    <w:rsid w:val="00D656E2"/>
    <w:rsid w:val="00D7047A"/>
    <w:rsid w:val="00D719E9"/>
    <w:rsid w:val="00D72225"/>
    <w:rsid w:val="00D73550"/>
    <w:rsid w:val="00D7474A"/>
    <w:rsid w:val="00D76E6E"/>
    <w:rsid w:val="00D8061A"/>
    <w:rsid w:val="00D80E3D"/>
    <w:rsid w:val="00D838F7"/>
    <w:rsid w:val="00D845DA"/>
    <w:rsid w:val="00D8479E"/>
    <w:rsid w:val="00D868F1"/>
    <w:rsid w:val="00D8797D"/>
    <w:rsid w:val="00D87EFF"/>
    <w:rsid w:val="00D90F47"/>
    <w:rsid w:val="00D91AE6"/>
    <w:rsid w:val="00D929F0"/>
    <w:rsid w:val="00D93BAC"/>
    <w:rsid w:val="00D941E0"/>
    <w:rsid w:val="00D95840"/>
    <w:rsid w:val="00D963AA"/>
    <w:rsid w:val="00DA1535"/>
    <w:rsid w:val="00DA1603"/>
    <w:rsid w:val="00DA2B67"/>
    <w:rsid w:val="00DA3C9A"/>
    <w:rsid w:val="00DA4C34"/>
    <w:rsid w:val="00DA554C"/>
    <w:rsid w:val="00DA589B"/>
    <w:rsid w:val="00DA5980"/>
    <w:rsid w:val="00DA5BF6"/>
    <w:rsid w:val="00DA5F07"/>
    <w:rsid w:val="00DA6C19"/>
    <w:rsid w:val="00DA79E6"/>
    <w:rsid w:val="00DB0DBA"/>
    <w:rsid w:val="00DB0EF6"/>
    <w:rsid w:val="00DB2668"/>
    <w:rsid w:val="00DB2CE5"/>
    <w:rsid w:val="00DB42FB"/>
    <w:rsid w:val="00DB520B"/>
    <w:rsid w:val="00DB6367"/>
    <w:rsid w:val="00DB6B0E"/>
    <w:rsid w:val="00DB7AEE"/>
    <w:rsid w:val="00DC04E4"/>
    <w:rsid w:val="00DC1187"/>
    <w:rsid w:val="00DC1C1A"/>
    <w:rsid w:val="00DC2719"/>
    <w:rsid w:val="00DC39C4"/>
    <w:rsid w:val="00DC4568"/>
    <w:rsid w:val="00DC5E42"/>
    <w:rsid w:val="00DC6AFC"/>
    <w:rsid w:val="00DC6D29"/>
    <w:rsid w:val="00DC78BA"/>
    <w:rsid w:val="00DD0910"/>
    <w:rsid w:val="00DD0941"/>
    <w:rsid w:val="00DD0CC5"/>
    <w:rsid w:val="00DD12F1"/>
    <w:rsid w:val="00DD1C47"/>
    <w:rsid w:val="00DD2826"/>
    <w:rsid w:val="00DD3BCF"/>
    <w:rsid w:val="00DD49FE"/>
    <w:rsid w:val="00DD643B"/>
    <w:rsid w:val="00DD6B5E"/>
    <w:rsid w:val="00DE0602"/>
    <w:rsid w:val="00DE0E3C"/>
    <w:rsid w:val="00DE1038"/>
    <w:rsid w:val="00DE13E8"/>
    <w:rsid w:val="00DE3EB5"/>
    <w:rsid w:val="00DE4BF6"/>
    <w:rsid w:val="00DE52A5"/>
    <w:rsid w:val="00DE5325"/>
    <w:rsid w:val="00DE5D46"/>
    <w:rsid w:val="00DE69D0"/>
    <w:rsid w:val="00DE6FFB"/>
    <w:rsid w:val="00DE7070"/>
    <w:rsid w:val="00DE77A3"/>
    <w:rsid w:val="00DF02F6"/>
    <w:rsid w:val="00DF0993"/>
    <w:rsid w:val="00DF163F"/>
    <w:rsid w:val="00DF21B8"/>
    <w:rsid w:val="00DF284F"/>
    <w:rsid w:val="00DF31EE"/>
    <w:rsid w:val="00DF3395"/>
    <w:rsid w:val="00DF6547"/>
    <w:rsid w:val="00DF67F2"/>
    <w:rsid w:val="00DF7681"/>
    <w:rsid w:val="00E00443"/>
    <w:rsid w:val="00E00BE0"/>
    <w:rsid w:val="00E02D36"/>
    <w:rsid w:val="00E03431"/>
    <w:rsid w:val="00E04625"/>
    <w:rsid w:val="00E04E43"/>
    <w:rsid w:val="00E05A95"/>
    <w:rsid w:val="00E05E74"/>
    <w:rsid w:val="00E065D9"/>
    <w:rsid w:val="00E0684E"/>
    <w:rsid w:val="00E0737B"/>
    <w:rsid w:val="00E07918"/>
    <w:rsid w:val="00E079AA"/>
    <w:rsid w:val="00E1050E"/>
    <w:rsid w:val="00E11753"/>
    <w:rsid w:val="00E12241"/>
    <w:rsid w:val="00E1241D"/>
    <w:rsid w:val="00E13264"/>
    <w:rsid w:val="00E13D0D"/>
    <w:rsid w:val="00E149CE"/>
    <w:rsid w:val="00E16AC4"/>
    <w:rsid w:val="00E16C2A"/>
    <w:rsid w:val="00E17C58"/>
    <w:rsid w:val="00E20468"/>
    <w:rsid w:val="00E20E7B"/>
    <w:rsid w:val="00E2178D"/>
    <w:rsid w:val="00E220B7"/>
    <w:rsid w:val="00E2263B"/>
    <w:rsid w:val="00E2271A"/>
    <w:rsid w:val="00E2282A"/>
    <w:rsid w:val="00E22DDE"/>
    <w:rsid w:val="00E234AD"/>
    <w:rsid w:val="00E23958"/>
    <w:rsid w:val="00E23AD4"/>
    <w:rsid w:val="00E23BEC"/>
    <w:rsid w:val="00E23EC3"/>
    <w:rsid w:val="00E24E4D"/>
    <w:rsid w:val="00E24F6A"/>
    <w:rsid w:val="00E25D14"/>
    <w:rsid w:val="00E25F8C"/>
    <w:rsid w:val="00E2618B"/>
    <w:rsid w:val="00E267F1"/>
    <w:rsid w:val="00E26938"/>
    <w:rsid w:val="00E26DD6"/>
    <w:rsid w:val="00E2744C"/>
    <w:rsid w:val="00E27EDD"/>
    <w:rsid w:val="00E332F9"/>
    <w:rsid w:val="00E3396A"/>
    <w:rsid w:val="00E34132"/>
    <w:rsid w:val="00E351DE"/>
    <w:rsid w:val="00E353CB"/>
    <w:rsid w:val="00E3704F"/>
    <w:rsid w:val="00E40F41"/>
    <w:rsid w:val="00E41728"/>
    <w:rsid w:val="00E42757"/>
    <w:rsid w:val="00E42772"/>
    <w:rsid w:val="00E42CA7"/>
    <w:rsid w:val="00E44F08"/>
    <w:rsid w:val="00E528AF"/>
    <w:rsid w:val="00E53131"/>
    <w:rsid w:val="00E5420A"/>
    <w:rsid w:val="00E5518E"/>
    <w:rsid w:val="00E56222"/>
    <w:rsid w:val="00E566D8"/>
    <w:rsid w:val="00E57743"/>
    <w:rsid w:val="00E577C9"/>
    <w:rsid w:val="00E62DD3"/>
    <w:rsid w:val="00E6348C"/>
    <w:rsid w:val="00E641D8"/>
    <w:rsid w:val="00E64808"/>
    <w:rsid w:val="00E64B11"/>
    <w:rsid w:val="00E6692C"/>
    <w:rsid w:val="00E669B7"/>
    <w:rsid w:val="00E66D8F"/>
    <w:rsid w:val="00E6742D"/>
    <w:rsid w:val="00E7098E"/>
    <w:rsid w:val="00E71707"/>
    <w:rsid w:val="00E71EF1"/>
    <w:rsid w:val="00E72304"/>
    <w:rsid w:val="00E73017"/>
    <w:rsid w:val="00E731C6"/>
    <w:rsid w:val="00E73A2D"/>
    <w:rsid w:val="00E73E92"/>
    <w:rsid w:val="00E740C4"/>
    <w:rsid w:val="00E74686"/>
    <w:rsid w:val="00E74750"/>
    <w:rsid w:val="00E76686"/>
    <w:rsid w:val="00E77B0E"/>
    <w:rsid w:val="00E77CB7"/>
    <w:rsid w:val="00E80520"/>
    <w:rsid w:val="00E818D4"/>
    <w:rsid w:val="00E81BD0"/>
    <w:rsid w:val="00E81D4A"/>
    <w:rsid w:val="00E8297B"/>
    <w:rsid w:val="00E83C98"/>
    <w:rsid w:val="00E840FE"/>
    <w:rsid w:val="00E841B3"/>
    <w:rsid w:val="00E847DC"/>
    <w:rsid w:val="00E84DBD"/>
    <w:rsid w:val="00E873A0"/>
    <w:rsid w:val="00E90A99"/>
    <w:rsid w:val="00E9124C"/>
    <w:rsid w:val="00E9128A"/>
    <w:rsid w:val="00E91BFD"/>
    <w:rsid w:val="00E91C15"/>
    <w:rsid w:val="00E92CE3"/>
    <w:rsid w:val="00E93BF9"/>
    <w:rsid w:val="00E943E8"/>
    <w:rsid w:val="00E945CE"/>
    <w:rsid w:val="00E94C25"/>
    <w:rsid w:val="00E94FAF"/>
    <w:rsid w:val="00E96293"/>
    <w:rsid w:val="00E96E5C"/>
    <w:rsid w:val="00E97091"/>
    <w:rsid w:val="00EA02C2"/>
    <w:rsid w:val="00EA0340"/>
    <w:rsid w:val="00EA0528"/>
    <w:rsid w:val="00EA0B53"/>
    <w:rsid w:val="00EA0C10"/>
    <w:rsid w:val="00EA17FD"/>
    <w:rsid w:val="00EA304C"/>
    <w:rsid w:val="00EA3098"/>
    <w:rsid w:val="00EA347E"/>
    <w:rsid w:val="00EA4E02"/>
    <w:rsid w:val="00EA5B61"/>
    <w:rsid w:val="00EA6276"/>
    <w:rsid w:val="00EA6533"/>
    <w:rsid w:val="00EB048C"/>
    <w:rsid w:val="00EB1599"/>
    <w:rsid w:val="00EB2C67"/>
    <w:rsid w:val="00EB2E20"/>
    <w:rsid w:val="00EB367C"/>
    <w:rsid w:val="00EB43BA"/>
    <w:rsid w:val="00EB46D0"/>
    <w:rsid w:val="00EB4700"/>
    <w:rsid w:val="00EB4927"/>
    <w:rsid w:val="00EB7F72"/>
    <w:rsid w:val="00EC111A"/>
    <w:rsid w:val="00EC1A20"/>
    <w:rsid w:val="00EC4357"/>
    <w:rsid w:val="00EC49A4"/>
    <w:rsid w:val="00EC4B0D"/>
    <w:rsid w:val="00EC4EF3"/>
    <w:rsid w:val="00EC568D"/>
    <w:rsid w:val="00EC6185"/>
    <w:rsid w:val="00EC7216"/>
    <w:rsid w:val="00ED16C8"/>
    <w:rsid w:val="00ED20C9"/>
    <w:rsid w:val="00ED21EE"/>
    <w:rsid w:val="00ED37BE"/>
    <w:rsid w:val="00ED37E1"/>
    <w:rsid w:val="00ED3B31"/>
    <w:rsid w:val="00ED432E"/>
    <w:rsid w:val="00ED4EC4"/>
    <w:rsid w:val="00ED6C04"/>
    <w:rsid w:val="00EE04B4"/>
    <w:rsid w:val="00EE05FD"/>
    <w:rsid w:val="00EE30C6"/>
    <w:rsid w:val="00EE3912"/>
    <w:rsid w:val="00EE4040"/>
    <w:rsid w:val="00EE4094"/>
    <w:rsid w:val="00EE453D"/>
    <w:rsid w:val="00EE4D57"/>
    <w:rsid w:val="00EE4F41"/>
    <w:rsid w:val="00EE53FF"/>
    <w:rsid w:val="00EE5E83"/>
    <w:rsid w:val="00EE6954"/>
    <w:rsid w:val="00EE7092"/>
    <w:rsid w:val="00EF067E"/>
    <w:rsid w:val="00EF2F5C"/>
    <w:rsid w:val="00EF52E2"/>
    <w:rsid w:val="00EF6429"/>
    <w:rsid w:val="00EF683A"/>
    <w:rsid w:val="00EF7590"/>
    <w:rsid w:val="00F01744"/>
    <w:rsid w:val="00F02000"/>
    <w:rsid w:val="00F0231D"/>
    <w:rsid w:val="00F024CA"/>
    <w:rsid w:val="00F027AA"/>
    <w:rsid w:val="00F03117"/>
    <w:rsid w:val="00F03373"/>
    <w:rsid w:val="00F0354F"/>
    <w:rsid w:val="00F03A86"/>
    <w:rsid w:val="00F06C92"/>
    <w:rsid w:val="00F07B96"/>
    <w:rsid w:val="00F1013F"/>
    <w:rsid w:val="00F10A99"/>
    <w:rsid w:val="00F12673"/>
    <w:rsid w:val="00F138A2"/>
    <w:rsid w:val="00F13C6C"/>
    <w:rsid w:val="00F14B89"/>
    <w:rsid w:val="00F14C80"/>
    <w:rsid w:val="00F154EB"/>
    <w:rsid w:val="00F15915"/>
    <w:rsid w:val="00F1764E"/>
    <w:rsid w:val="00F17906"/>
    <w:rsid w:val="00F20632"/>
    <w:rsid w:val="00F20CB0"/>
    <w:rsid w:val="00F20E56"/>
    <w:rsid w:val="00F215F7"/>
    <w:rsid w:val="00F23738"/>
    <w:rsid w:val="00F3076C"/>
    <w:rsid w:val="00F30846"/>
    <w:rsid w:val="00F30CAB"/>
    <w:rsid w:val="00F316FF"/>
    <w:rsid w:val="00F32479"/>
    <w:rsid w:val="00F327DF"/>
    <w:rsid w:val="00F32E2C"/>
    <w:rsid w:val="00F33121"/>
    <w:rsid w:val="00F33769"/>
    <w:rsid w:val="00F3417A"/>
    <w:rsid w:val="00F356D2"/>
    <w:rsid w:val="00F358DA"/>
    <w:rsid w:val="00F3608C"/>
    <w:rsid w:val="00F36DEB"/>
    <w:rsid w:val="00F406FD"/>
    <w:rsid w:val="00F40D24"/>
    <w:rsid w:val="00F414D0"/>
    <w:rsid w:val="00F43059"/>
    <w:rsid w:val="00F43239"/>
    <w:rsid w:val="00F43386"/>
    <w:rsid w:val="00F4441A"/>
    <w:rsid w:val="00F44B64"/>
    <w:rsid w:val="00F453E5"/>
    <w:rsid w:val="00F4722B"/>
    <w:rsid w:val="00F47D9D"/>
    <w:rsid w:val="00F50558"/>
    <w:rsid w:val="00F50A8E"/>
    <w:rsid w:val="00F522A8"/>
    <w:rsid w:val="00F52B58"/>
    <w:rsid w:val="00F544D2"/>
    <w:rsid w:val="00F55847"/>
    <w:rsid w:val="00F57142"/>
    <w:rsid w:val="00F5756D"/>
    <w:rsid w:val="00F62D81"/>
    <w:rsid w:val="00F62F79"/>
    <w:rsid w:val="00F630A2"/>
    <w:rsid w:val="00F630BA"/>
    <w:rsid w:val="00F643B2"/>
    <w:rsid w:val="00F64734"/>
    <w:rsid w:val="00F652AB"/>
    <w:rsid w:val="00F65942"/>
    <w:rsid w:val="00F65BE2"/>
    <w:rsid w:val="00F65E84"/>
    <w:rsid w:val="00F66BFD"/>
    <w:rsid w:val="00F67651"/>
    <w:rsid w:val="00F72183"/>
    <w:rsid w:val="00F7225A"/>
    <w:rsid w:val="00F722A8"/>
    <w:rsid w:val="00F72AA0"/>
    <w:rsid w:val="00F734D7"/>
    <w:rsid w:val="00F761F7"/>
    <w:rsid w:val="00F76A40"/>
    <w:rsid w:val="00F77282"/>
    <w:rsid w:val="00F808C4"/>
    <w:rsid w:val="00F80B1C"/>
    <w:rsid w:val="00F80C07"/>
    <w:rsid w:val="00F814BB"/>
    <w:rsid w:val="00F82359"/>
    <w:rsid w:val="00F82C1E"/>
    <w:rsid w:val="00F84644"/>
    <w:rsid w:val="00F85BC0"/>
    <w:rsid w:val="00F86796"/>
    <w:rsid w:val="00F87264"/>
    <w:rsid w:val="00F908E9"/>
    <w:rsid w:val="00F90DAB"/>
    <w:rsid w:val="00F91DB3"/>
    <w:rsid w:val="00F96295"/>
    <w:rsid w:val="00F96336"/>
    <w:rsid w:val="00F9673E"/>
    <w:rsid w:val="00F96CD5"/>
    <w:rsid w:val="00F96D19"/>
    <w:rsid w:val="00FA56D6"/>
    <w:rsid w:val="00FA595F"/>
    <w:rsid w:val="00FA5F99"/>
    <w:rsid w:val="00FA6C24"/>
    <w:rsid w:val="00FA7420"/>
    <w:rsid w:val="00FB0BAB"/>
    <w:rsid w:val="00FB338F"/>
    <w:rsid w:val="00FB3BA5"/>
    <w:rsid w:val="00FB4052"/>
    <w:rsid w:val="00FB5298"/>
    <w:rsid w:val="00FB651A"/>
    <w:rsid w:val="00FC0673"/>
    <w:rsid w:val="00FC0A3B"/>
    <w:rsid w:val="00FC0CB3"/>
    <w:rsid w:val="00FC2999"/>
    <w:rsid w:val="00FC3345"/>
    <w:rsid w:val="00FC5465"/>
    <w:rsid w:val="00FC55EC"/>
    <w:rsid w:val="00FC697F"/>
    <w:rsid w:val="00FC7251"/>
    <w:rsid w:val="00FC765F"/>
    <w:rsid w:val="00FD1861"/>
    <w:rsid w:val="00FD3DCC"/>
    <w:rsid w:val="00FD3F5C"/>
    <w:rsid w:val="00FD4363"/>
    <w:rsid w:val="00FD49E8"/>
    <w:rsid w:val="00FD5375"/>
    <w:rsid w:val="00FD5B82"/>
    <w:rsid w:val="00FD6117"/>
    <w:rsid w:val="00FD61A3"/>
    <w:rsid w:val="00FD66C9"/>
    <w:rsid w:val="00FD7446"/>
    <w:rsid w:val="00FD79F6"/>
    <w:rsid w:val="00FE0371"/>
    <w:rsid w:val="00FE1258"/>
    <w:rsid w:val="00FE2025"/>
    <w:rsid w:val="00FE31D0"/>
    <w:rsid w:val="00FE3581"/>
    <w:rsid w:val="00FE5D22"/>
    <w:rsid w:val="00FE7695"/>
    <w:rsid w:val="00FE7A3F"/>
    <w:rsid w:val="00FF10F6"/>
    <w:rsid w:val="00FF271D"/>
    <w:rsid w:val="00FF27B5"/>
    <w:rsid w:val="00FF3835"/>
    <w:rsid w:val="00FF4E87"/>
    <w:rsid w:val="00FF5C5C"/>
    <w:rsid w:val="08CE260E"/>
    <w:rsid w:val="09F138D0"/>
    <w:rsid w:val="1AA8F051"/>
    <w:rsid w:val="20722C55"/>
    <w:rsid w:val="3211D9DA"/>
    <w:rsid w:val="34F7B682"/>
    <w:rsid w:val="38E4D850"/>
    <w:rsid w:val="3C33A8EB"/>
    <w:rsid w:val="48A36FC3"/>
    <w:rsid w:val="4A83BC41"/>
    <w:rsid w:val="59DE7332"/>
    <w:rsid w:val="64B78C15"/>
    <w:rsid w:val="6FB74D9D"/>
    <w:rsid w:val="7361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EE63139"/>
  <w15:docId w15:val="{587C33AC-F822-43BC-AF97-994253007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table" w:customStyle="1" w:styleId="TableGrid1">
    <w:name w:val="Table Grid1"/>
    <w:basedOn w:val="TableNormal"/>
    <w:next w:val="TableGrid"/>
    <w:rsid w:val="005C719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471C"/>
    <w:rPr>
      <w:sz w:val="24"/>
      <w:szCs w:val="24"/>
    </w:rPr>
  </w:style>
  <w:style w:type="paragraph" w:customStyle="1" w:styleId="Default">
    <w:name w:val="Default"/>
    <w:rsid w:val="001F3189"/>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E26DD6"/>
    <w:rPr>
      <w:color w:val="808080"/>
      <w:shd w:val="clear" w:color="auto" w:fill="E6E6E6"/>
    </w:rPr>
  </w:style>
  <w:style w:type="character" w:customStyle="1" w:styleId="CommentTextChar">
    <w:name w:val="Comment Text Char"/>
    <w:basedOn w:val="DefaultParagraphFont"/>
    <w:link w:val="CommentText"/>
    <w:semiHidden/>
    <w:rsid w:val="005F710F"/>
  </w:style>
  <w:style w:type="character" w:customStyle="1" w:styleId="UnresolvedMention2">
    <w:name w:val="Unresolved Mention2"/>
    <w:basedOn w:val="DefaultParagraphFont"/>
    <w:uiPriority w:val="99"/>
    <w:semiHidden/>
    <w:unhideWhenUsed/>
    <w:rsid w:val="004B3F3D"/>
    <w:rPr>
      <w:color w:val="808080"/>
      <w:shd w:val="clear" w:color="auto" w:fill="E6E6E6"/>
    </w:rPr>
  </w:style>
  <w:style w:type="character" w:customStyle="1" w:styleId="FootnoteTextChar">
    <w:name w:val="Footnote Text Char"/>
    <w:basedOn w:val="DefaultParagraphFont"/>
    <w:link w:val="FootnoteText"/>
    <w:uiPriority w:val="99"/>
    <w:semiHidden/>
    <w:rsid w:val="00661E36"/>
  </w:style>
  <w:style w:type="character" w:customStyle="1" w:styleId="UnresolvedMention3">
    <w:name w:val="Unresolved Mention3"/>
    <w:basedOn w:val="DefaultParagraphFont"/>
    <w:uiPriority w:val="99"/>
    <w:semiHidden/>
    <w:unhideWhenUsed/>
    <w:rsid w:val="00855090"/>
    <w:rPr>
      <w:color w:val="808080"/>
      <w:shd w:val="clear" w:color="auto" w:fill="E6E6E6"/>
    </w:rPr>
  </w:style>
  <w:style w:type="character" w:styleId="UnresolvedMention">
    <w:name w:val="Unresolved Mention"/>
    <w:basedOn w:val="DefaultParagraphFont"/>
    <w:uiPriority w:val="99"/>
    <w:semiHidden/>
    <w:unhideWhenUsed/>
    <w:rsid w:val="00A476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9427736">
      <w:bodyDiv w:val="1"/>
      <w:marLeft w:val="0"/>
      <w:marRight w:val="0"/>
      <w:marTop w:val="0"/>
      <w:marBottom w:val="0"/>
      <w:divBdr>
        <w:top w:val="none" w:sz="0" w:space="0" w:color="auto"/>
        <w:left w:val="none" w:sz="0" w:space="0" w:color="auto"/>
        <w:bottom w:val="none" w:sz="0" w:space="0" w:color="auto"/>
        <w:right w:val="none" w:sz="0" w:space="0" w:color="auto"/>
      </w:divBdr>
    </w:div>
    <w:div w:id="51125780">
      <w:bodyDiv w:val="1"/>
      <w:marLeft w:val="0"/>
      <w:marRight w:val="0"/>
      <w:marTop w:val="0"/>
      <w:marBottom w:val="0"/>
      <w:divBdr>
        <w:top w:val="none" w:sz="0" w:space="0" w:color="auto"/>
        <w:left w:val="none" w:sz="0" w:space="0" w:color="auto"/>
        <w:bottom w:val="none" w:sz="0" w:space="0" w:color="auto"/>
        <w:right w:val="none" w:sz="0" w:space="0" w:color="auto"/>
      </w:divBdr>
    </w:div>
    <w:div w:id="62531420">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57380479">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8621955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08638559">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382337262">
      <w:bodyDiv w:val="1"/>
      <w:marLeft w:val="0"/>
      <w:marRight w:val="0"/>
      <w:marTop w:val="0"/>
      <w:marBottom w:val="0"/>
      <w:divBdr>
        <w:top w:val="none" w:sz="0" w:space="0" w:color="auto"/>
        <w:left w:val="none" w:sz="0" w:space="0" w:color="auto"/>
        <w:bottom w:val="none" w:sz="0" w:space="0" w:color="auto"/>
        <w:right w:val="none" w:sz="0" w:space="0" w:color="auto"/>
      </w:divBdr>
    </w:div>
    <w:div w:id="427651906">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4808948">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63183054">
      <w:bodyDiv w:val="1"/>
      <w:marLeft w:val="0"/>
      <w:marRight w:val="0"/>
      <w:marTop w:val="0"/>
      <w:marBottom w:val="0"/>
      <w:divBdr>
        <w:top w:val="none" w:sz="0" w:space="0" w:color="auto"/>
        <w:left w:val="none" w:sz="0" w:space="0" w:color="auto"/>
        <w:bottom w:val="none" w:sz="0" w:space="0" w:color="auto"/>
        <w:right w:val="none" w:sz="0" w:space="0" w:color="auto"/>
      </w:divBdr>
    </w:div>
    <w:div w:id="619646102">
      <w:bodyDiv w:val="1"/>
      <w:marLeft w:val="0"/>
      <w:marRight w:val="0"/>
      <w:marTop w:val="0"/>
      <w:marBottom w:val="0"/>
      <w:divBdr>
        <w:top w:val="none" w:sz="0" w:space="0" w:color="auto"/>
        <w:left w:val="none" w:sz="0" w:space="0" w:color="auto"/>
        <w:bottom w:val="none" w:sz="0" w:space="0" w:color="auto"/>
        <w:right w:val="none" w:sz="0" w:space="0" w:color="auto"/>
      </w:divBdr>
    </w:div>
    <w:div w:id="642349136">
      <w:bodyDiv w:val="1"/>
      <w:marLeft w:val="0"/>
      <w:marRight w:val="0"/>
      <w:marTop w:val="0"/>
      <w:marBottom w:val="0"/>
      <w:divBdr>
        <w:top w:val="none" w:sz="0" w:space="0" w:color="auto"/>
        <w:left w:val="none" w:sz="0" w:space="0" w:color="auto"/>
        <w:bottom w:val="none" w:sz="0" w:space="0" w:color="auto"/>
        <w:right w:val="none" w:sz="0" w:space="0" w:color="auto"/>
      </w:divBdr>
    </w:div>
    <w:div w:id="663826393">
      <w:bodyDiv w:val="1"/>
      <w:marLeft w:val="0"/>
      <w:marRight w:val="0"/>
      <w:marTop w:val="0"/>
      <w:marBottom w:val="0"/>
      <w:divBdr>
        <w:top w:val="none" w:sz="0" w:space="0" w:color="auto"/>
        <w:left w:val="none" w:sz="0" w:space="0" w:color="auto"/>
        <w:bottom w:val="none" w:sz="0" w:space="0" w:color="auto"/>
        <w:right w:val="none" w:sz="0" w:space="0" w:color="auto"/>
      </w:divBdr>
      <w:divsChild>
        <w:div w:id="452866850">
          <w:marLeft w:val="547"/>
          <w:marRight w:val="0"/>
          <w:marTop w:val="0"/>
          <w:marBottom w:val="0"/>
          <w:divBdr>
            <w:top w:val="none" w:sz="0" w:space="0" w:color="auto"/>
            <w:left w:val="none" w:sz="0" w:space="0" w:color="auto"/>
            <w:bottom w:val="none" w:sz="0" w:space="0" w:color="auto"/>
            <w:right w:val="none" w:sz="0" w:space="0" w:color="auto"/>
          </w:divBdr>
        </w:div>
      </w:divsChild>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47465202">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6908482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05990155">
      <w:bodyDiv w:val="1"/>
      <w:marLeft w:val="0"/>
      <w:marRight w:val="0"/>
      <w:marTop w:val="0"/>
      <w:marBottom w:val="0"/>
      <w:divBdr>
        <w:top w:val="none" w:sz="0" w:space="0" w:color="auto"/>
        <w:left w:val="none" w:sz="0" w:space="0" w:color="auto"/>
        <w:bottom w:val="none" w:sz="0" w:space="0" w:color="auto"/>
        <w:right w:val="none" w:sz="0" w:space="0" w:color="auto"/>
      </w:divBdr>
    </w:div>
    <w:div w:id="1051269713">
      <w:bodyDiv w:val="1"/>
      <w:marLeft w:val="0"/>
      <w:marRight w:val="0"/>
      <w:marTop w:val="0"/>
      <w:marBottom w:val="0"/>
      <w:divBdr>
        <w:top w:val="none" w:sz="0" w:space="0" w:color="auto"/>
        <w:left w:val="none" w:sz="0" w:space="0" w:color="auto"/>
        <w:bottom w:val="none" w:sz="0" w:space="0" w:color="auto"/>
        <w:right w:val="none" w:sz="0" w:space="0" w:color="auto"/>
      </w:divBdr>
    </w:div>
    <w:div w:id="121157664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9749465">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55548556">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365448344">
      <w:bodyDiv w:val="1"/>
      <w:marLeft w:val="0"/>
      <w:marRight w:val="0"/>
      <w:marTop w:val="0"/>
      <w:marBottom w:val="0"/>
      <w:divBdr>
        <w:top w:val="none" w:sz="0" w:space="0" w:color="auto"/>
        <w:left w:val="none" w:sz="0" w:space="0" w:color="auto"/>
        <w:bottom w:val="none" w:sz="0" w:space="0" w:color="auto"/>
        <w:right w:val="none" w:sz="0" w:space="0" w:color="auto"/>
      </w:divBdr>
      <w:divsChild>
        <w:div w:id="2101757865">
          <w:marLeft w:val="446"/>
          <w:marRight w:val="0"/>
          <w:marTop w:val="173"/>
          <w:marBottom w:val="0"/>
          <w:divBdr>
            <w:top w:val="none" w:sz="0" w:space="0" w:color="auto"/>
            <w:left w:val="none" w:sz="0" w:space="0" w:color="auto"/>
            <w:bottom w:val="none" w:sz="0" w:space="0" w:color="auto"/>
            <w:right w:val="none" w:sz="0" w:space="0" w:color="auto"/>
          </w:divBdr>
        </w:div>
        <w:div w:id="850416181">
          <w:marLeft w:val="446"/>
          <w:marRight w:val="0"/>
          <w:marTop w:val="173"/>
          <w:marBottom w:val="0"/>
          <w:divBdr>
            <w:top w:val="none" w:sz="0" w:space="0" w:color="auto"/>
            <w:left w:val="none" w:sz="0" w:space="0" w:color="auto"/>
            <w:bottom w:val="none" w:sz="0" w:space="0" w:color="auto"/>
            <w:right w:val="none" w:sz="0" w:space="0" w:color="auto"/>
          </w:divBdr>
        </w:div>
        <w:div w:id="891310965">
          <w:marLeft w:val="446"/>
          <w:marRight w:val="0"/>
          <w:marTop w:val="173"/>
          <w:marBottom w:val="0"/>
          <w:divBdr>
            <w:top w:val="none" w:sz="0" w:space="0" w:color="auto"/>
            <w:left w:val="none" w:sz="0" w:space="0" w:color="auto"/>
            <w:bottom w:val="none" w:sz="0" w:space="0" w:color="auto"/>
            <w:right w:val="none" w:sz="0" w:space="0" w:color="auto"/>
          </w:divBdr>
        </w:div>
      </w:divsChild>
    </w:div>
    <w:div w:id="1446119821">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62185021">
      <w:bodyDiv w:val="1"/>
      <w:marLeft w:val="0"/>
      <w:marRight w:val="0"/>
      <w:marTop w:val="0"/>
      <w:marBottom w:val="0"/>
      <w:divBdr>
        <w:top w:val="none" w:sz="0" w:space="0" w:color="auto"/>
        <w:left w:val="none" w:sz="0" w:space="0" w:color="auto"/>
        <w:bottom w:val="none" w:sz="0" w:space="0" w:color="auto"/>
        <w:right w:val="none" w:sz="0" w:space="0" w:color="auto"/>
      </w:divBdr>
      <w:divsChild>
        <w:div w:id="436947819">
          <w:marLeft w:val="547"/>
          <w:marRight w:val="0"/>
          <w:marTop w:val="0"/>
          <w:marBottom w:val="0"/>
          <w:divBdr>
            <w:top w:val="none" w:sz="0" w:space="0" w:color="auto"/>
            <w:left w:val="none" w:sz="0" w:space="0" w:color="auto"/>
            <w:bottom w:val="none" w:sz="0" w:space="0" w:color="auto"/>
            <w:right w:val="none" w:sz="0" w:space="0" w:color="auto"/>
          </w:divBdr>
        </w:div>
      </w:divsChild>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250749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54681946">
      <w:bodyDiv w:val="1"/>
      <w:marLeft w:val="0"/>
      <w:marRight w:val="0"/>
      <w:marTop w:val="0"/>
      <w:marBottom w:val="0"/>
      <w:divBdr>
        <w:top w:val="none" w:sz="0" w:space="0" w:color="auto"/>
        <w:left w:val="none" w:sz="0" w:space="0" w:color="auto"/>
        <w:bottom w:val="none" w:sz="0" w:space="0" w:color="auto"/>
        <w:right w:val="none" w:sz="0" w:space="0" w:color="auto"/>
      </w:divBdr>
      <w:divsChild>
        <w:div w:id="1443302427">
          <w:marLeft w:val="446"/>
          <w:marRight w:val="0"/>
          <w:marTop w:val="0"/>
          <w:marBottom w:val="0"/>
          <w:divBdr>
            <w:top w:val="none" w:sz="0" w:space="0" w:color="auto"/>
            <w:left w:val="none" w:sz="0" w:space="0" w:color="auto"/>
            <w:bottom w:val="none" w:sz="0" w:space="0" w:color="auto"/>
            <w:right w:val="none" w:sz="0" w:space="0" w:color="auto"/>
          </w:divBdr>
        </w:div>
      </w:divsChild>
    </w:div>
    <w:div w:id="1658610361">
      <w:bodyDiv w:val="1"/>
      <w:marLeft w:val="0"/>
      <w:marRight w:val="0"/>
      <w:marTop w:val="0"/>
      <w:marBottom w:val="0"/>
      <w:divBdr>
        <w:top w:val="none" w:sz="0" w:space="0" w:color="auto"/>
        <w:left w:val="none" w:sz="0" w:space="0" w:color="auto"/>
        <w:bottom w:val="none" w:sz="0" w:space="0" w:color="auto"/>
        <w:right w:val="none" w:sz="0" w:space="0" w:color="auto"/>
      </w:divBdr>
    </w:div>
    <w:div w:id="173751342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74086597">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799835968">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1977224393">
      <w:bodyDiv w:val="1"/>
      <w:marLeft w:val="0"/>
      <w:marRight w:val="0"/>
      <w:marTop w:val="0"/>
      <w:marBottom w:val="0"/>
      <w:divBdr>
        <w:top w:val="none" w:sz="0" w:space="0" w:color="auto"/>
        <w:left w:val="none" w:sz="0" w:space="0" w:color="auto"/>
        <w:bottom w:val="none" w:sz="0" w:space="0" w:color="auto"/>
        <w:right w:val="none" w:sz="0" w:space="0" w:color="auto"/>
      </w:divBdr>
    </w:div>
    <w:div w:id="19846525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cid:image010.png@01D3C6E9.9D9F2A90" TargetMode="External"/><Relationship Id="rId26" Type="http://schemas.openxmlformats.org/officeDocument/2006/relationships/image" Target="media/image8.w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2.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visual-3d.com/tools/photometricViewer/default.aspx?id=18586"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7.bin"/><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6.png"/><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www.visual-3d.com/tools/photometricViewer/default.aspx?id=18586" TargetMode="External"/><Relationship Id="rId27" Type="http://schemas.openxmlformats.org/officeDocument/2006/relationships/oleObject" Target="embeddings/oleObject2.bin"/><Relationship Id="rId30" Type="http://schemas.openxmlformats.org/officeDocument/2006/relationships/image" Target="media/image10.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7" Type="http://schemas.openxmlformats.org/officeDocument/2006/relationships/hyperlink" Target="http://www.calmac.org/publications/LED_Study_Report_FINAL_201510029.pdf" TargetMode="External"/><Relationship Id="rId2" Type="http://schemas.openxmlformats.org/officeDocument/2006/relationships/hyperlink" Target="https://www.energy.gov/sites/prod/files/2017/04/f34/snapshot2017_industrial.pdf" TargetMode="External"/><Relationship Id="rId1" Type="http://schemas.openxmlformats.org/officeDocument/2006/relationships/hyperlink" Target="https://www.designlights.org/solid-state-lighting/qualification-requirements/past-technical-requirements/version-4-1-released-november-1-2016/" TargetMode="External"/><Relationship Id="rId6" Type="http://schemas.openxmlformats.org/officeDocument/2006/relationships/hyperlink" Target="http://www.calmac.org/publications/LED_Pricing_Analysis_Report_-_Revised_1.19.2018_Final.pdf" TargetMode="External"/><Relationship Id="rId5" Type="http://schemas.openxmlformats.org/officeDocument/2006/relationships/hyperlink" Target="http://www.energy.ca.gov/2015publications/CEC-400-2015-037/CEC-400-2015-037-CMF.pdf" TargetMode="External"/><Relationship Id="rId4" Type="http://schemas.openxmlformats.org/officeDocument/2006/relationships/hyperlink" Target="https://www1.eere.energy.gov/buildings/ssl/caliper/default.asp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rc.rpi.edu/programs/nlpip/lightinganswers/mwmhl/characteristics6.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81A55A4D-CF3A-425E-A3F1-D3FD62C9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B64F69-47EF-47CC-BFD3-4B89BC8E22D2}">
  <ds:schemaRefs>
    <ds:schemaRef ds:uri="http://schemas.microsoft.com/sharepoint/v3/contenttype/forms"/>
  </ds:schemaRefs>
</ds:datastoreItem>
</file>

<file path=customXml/itemProps3.xml><?xml version="1.0" encoding="utf-8"?>
<ds:datastoreItem xmlns:ds="http://schemas.openxmlformats.org/officeDocument/2006/customXml" ds:itemID="{A770FC9B-0CD7-42DC-B224-9C39B5F4815C}">
  <ds:schemaRef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s>
</ds:datastoreItem>
</file>

<file path=customXml/itemProps4.xml><?xml version="1.0" encoding="utf-8"?>
<ds:datastoreItem xmlns:ds="http://schemas.openxmlformats.org/officeDocument/2006/customXml" ds:itemID="{7E8E13DB-6CCA-4FC7-BB0B-3E380CCD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64</TotalTime>
  <Pages>34</Pages>
  <Words>12913</Words>
  <Characters>73610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PGECOLTG178</vt:lpstr>
    </vt:vector>
  </TitlesOfParts>
  <Company>PG&amp;E</Company>
  <LinksUpToDate>false</LinksUpToDate>
  <CharactersWithSpaces>86351</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PGECOLTG178</dc:title>
  <dc:subject/>
  <dc:creator>Greg Barker</dc:creator>
  <cp:keywords/>
  <dc:description/>
  <cp:lastModifiedBy>Linda Wan</cp:lastModifiedBy>
  <cp:revision>8</cp:revision>
  <cp:lastPrinted>2017-06-20T04:38:00Z</cp:lastPrinted>
  <dcterms:created xsi:type="dcterms:W3CDTF">2018-04-11T23:56:00Z</dcterms:created>
  <dcterms:modified xsi:type="dcterms:W3CDTF">2018-04-12T04:21:00Z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